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DECRETO EXECUTIVO Nº. 1.001 DE 2</w:t>
      </w:r>
      <w:r>
        <w:rPr>
          <w:rFonts w:ascii="Arial" w:hAnsi="Arial"/>
          <w:b/>
          <w:sz w:val="22"/>
          <w:szCs w:val="22"/>
        </w:rPr>
        <w:t>5</w:t>
      </w:r>
      <w:r>
        <w:rPr>
          <w:rFonts w:ascii="Arial" w:hAnsi="Arial"/>
          <w:b/>
          <w:sz w:val="22"/>
          <w:szCs w:val="22"/>
        </w:rPr>
        <w:t xml:space="preserve"> DE FEVEREIRO DE 2022.</w:t>
      </w:r>
    </w:p>
    <w:p>
      <w:pPr>
        <w:pStyle w:val="Normal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ind w:left="3960" w:hanging="0"/>
        <w:jc w:val="both"/>
        <w:rPr>
          <w:b w:val="false"/>
          <w:b w:val="false"/>
          <w:bCs w:val="false"/>
        </w:rPr>
      </w:pPr>
      <w:r>
        <w:rPr>
          <w:rFonts w:ascii="Arial" w:hAnsi="Arial"/>
          <w:b w:val="false"/>
          <w:bCs w:val="false"/>
          <w:i w:val="false"/>
          <w:iCs w:val="false"/>
          <w:sz w:val="22"/>
          <w:szCs w:val="22"/>
        </w:rPr>
        <w:t>FIXA O VALOR DA URM (UNIDADE DE REFERÊNCIA MUNICIPAL) PARA O EXERCÍCIO 2022, DEFINE A PLANTA DE VALORES PARA FINS DE IPTU E ITBI, E TARIFA DE ÁGUA DÁ OUTRAS PROVID</w:t>
      </w:r>
      <w:r>
        <w:rPr>
          <w:rFonts w:ascii="Arial" w:hAnsi="Arial"/>
          <w:b w:val="false"/>
          <w:bCs w:val="false"/>
          <w:i w:val="false"/>
          <w:iCs w:val="false"/>
          <w:sz w:val="22"/>
          <w:szCs w:val="22"/>
        </w:rPr>
        <w:t>Ê</w:t>
      </w:r>
      <w:r>
        <w:rPr>
          <w:rFonts w:ascii="Arial" w:hAnsi="Arial"/>
          <w:b w:val="false"/>
          <w:bCs w:val="false"/>
          <w:i w:val="false"/>
          <w:iCs w:val="false"/>
          <w:sz w:val="22"/>
          <w:szCs w:val="22"/>
        </w:rPr>
        <w:t>NCIAS.</w:t>
      </w:r>
    </w:p>
    <w:p>
      <w:pPr>
        <w:pStyle w:val="Normal"/>
        <w:jc w:val="center"/>
        <w:rPr>
          <w:rFonts w:ascii="Arial" w:hAnsi="Arial"/>
          <w:b/>
          <w:b/>
          <w:i/>
          <w:i/>
          <w:sz w:val="22"/>
          <w:szCs w:val="22"/>
        </w:rPr>
      </w:pPr>
      <w:r>
        <w:rPr>
          <w:rFonts w:ascii="Arial" w:hAnsi="Arial"/>
          <w:b/>
          <w:i/>
          <w:sz w:val="22"/>
          <w:szCs w:val="22"/>
        </w:rPr>
      </w:r>
    </w:p>
    <w:p>
      <w:pPr>
        <w:pStyle w:val="Normal"/>
        <w:jc w:val="center"/>
        <w:rPr>
          <w:rFonts w:ascii="Arial" w:hAnsi="Arial"/>
          <w:b/>
          <w:b/>
          <w:i/>
          <w:i/>
          <w:sz w:val="22"/>
          <w:szCs w:val="22"/>
        </w:rPr>
      </w:pPr>
      <w:r>
        <w:rPr>
          <w:rFonts w:ascii="Arial" w:hAnsi="Arial"/>
          <w:b/>
          <w:i/>
          <w:sz w:val="22"/>
          <w:szCs w:val="22"/>
        </w:rPr>
      </w:r>
    </w:p>
    <w:p>
      <w:pPr>
        <w:pStyle w:val="Normal"/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RENATO LUIS CASAGRANDE, </w:t>
      </w:r>
      <w:r>
        <w:rPr>
          <w:rFonts w:ascii="Arial" w:hAnsi="Arial"/>
          <w:sz w:val="22"/>
          <w:szCs w:val="22"/>
        </w:rPr>
        <w:t>Prefeito de Bozano, Estado do Rio Grande do Sul, no uso de suas atribuições legais e considerando o disposto na</w:t>
      </w:r>
      <w:r>
        <w:rPr>
          <w:rFonts w:ascii="Arial" w:hAnsi="Arial"/>
          <w:sz w:val="22"/>
          <w:szCs w:val="22"/>
        </w:rPr>
        <w:t>s</w:t>
      </w:r>
      <w:r>
        <w:rPr>
          <w:rFonts w:ascii="Arial" w:hAnsi="Arial"/>
          <w:sz w:val="22"/>
          <w:szCs w:val="22"/>
        </w:rPr>
        <w:t xml:space="preserve"> Lei</w:t>
      </w:r>
      <w:r>
        <w:rPr>
          <w:rFonts w:ascii="Arial" w:hAnsi="Arial"/>
          <w:sz w:val="22"/>
          <w:szCs w:val="22"/>
        </w:rPr>
        <w:t>s</w:t>
      </w:r>
      <w:r>
        <w:rPr>
          <w:rFonts w:ascii="Arial" w:hAnsi="Arial"/>
          <w:sz w:val="22"/>
          <w:szCs w:val="22"/>
        </w:rPr>
        <w:t xml:space="preserve"> Municipa</w:t>
      </w:r>
      <w:r>
        <w:rPr>
          <w:rFonts w:ascii="Arial" w:hAnsi="Arial"/>
          <w:sz w:val="22"/>
          <w:szCs w:val="22"/>
        </w:rPr>
        <w:t>is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nºs </w:t>
      </w:r>
      <w:r>
        <w:rPr>
          <w:rFonts w:ascii="Arial" w:hAnsi="Arial"/>
          <w:sz w:val="22"/>
          <w:szCs w:val="22"/>
        </w:rPr>
        <w:t xml:space="preserve">193/2003, </w:t>
      </w:r>
      <w:r>
        <w:rPr>
          <w:rFonts w:ascii="Arial" w:hAnsi="Arial"/>
          <w:sz w:val="22"/>
          <w:szCs w:val="22"/>
        </w:rPr>
        <w:t>848/201</w:t>
      </w:r>
      <w:r>
        <w:rPr>
          <w:rFonts w:ascii="Arial" w:hAnsi="Arial"/>
          <w:sz w:val="22"/>
          <w:szCs w:val="22"/>
        </w:rPr>
        <w:t>4</w:t>
      </w:r>
      <w:r>
        <w:rPr>
          <w:rFonts w:ascii="Arial" w:hAnsi="Arial"/>
          <w:sz w:val="22"/>
          <w:szCs w:val="22"/>
        </w:rPr>
        <w:t xml:space="preserve">, </w:t>
      </w:r>
      <w:r>
        <w:rPr>
          <w:rFonts w:ascii="Arial" w:hAnsi="Arial"/>
          <w:sz w:val="22"/>
          <w:szCs w:val="22"/>
        </w:rPr>
        <w:t xml:space="preserve">1.010/2017, 1.256/2021 e </w:t>
      </w:r>
      <w:r>
        <w:rPr>
          <w:rFonts w:ascii="Arial" w:hAnsi="Arial"/>
          <w:sz w:val="22"/>
          <w:szCs w:val="22"/>
        </w:rPr>
        <w:t xml:space="preserve">considerando a variação do IGP-M </w:t>
      </w:r>
      <w:r>
        <w:rPr>
          <w:rFonts w:ascii="Arial" w:hAnsi="Arial"/>
          <w:sz w:val="22"/>
          <w:szCs w:val="22"/>
        </w:rPr>
        <w:t>e do IPCA</w:t>
      </w:r>
      <w:r>
        <w:rPr>
          <w:rFonts w:ascii="Arial" w:hAnsi="Arial"/>
          <w:sz w:val="22"/>
          <w:szCs w:val="22"/>
        </w:rPr>
        <w:t xml:space="preserve"> nos últimos 12 meses,</w:t>
      </w:r>
    </w:p>
    <w:p>
      <w:pPr>
        <w:pStyle w:val="Normal"/>
        <w:ind w:firstLine="708"/>
        <w:jc w:val="both"/>
        <w:rPr>
          <w:rFonts w:ascii="Arial" w:hAnsi="Arial"/>
          <w:sz w:val="22"/>
          <w:szCs w:val="22"/>
        </w:rPr>
      </w:pPr>
      <w:r>
        <w:rPr/>
      </w:r>
    </w:p>
    <w:p>
      <w:pPr>
        <w:pStyle w:val="Normal"/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DECRETA:</w:t>
      </w:r>
    </w:p>
    <w:p>
      <w:pPr>
        <w:pStyle w:val="Normal"/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ind w:firstLine="708"/>
        <w:jc w:val="both"/>
        <w:rPr>
          <w:color w:val="000000"/>
        </w:rPr>
      </w:pPr>
      <w:r>
        <w:rPr>
          <w:rFonts w:ascii="Arial" w:hAnsi="Arial"/>
          <w:color w:val="000000"/>
          <w:sz w:val="22"/>
          <w:szCs w:val="22"/>
        </w:rPr>
        <w:t xml:space="preserve">Art. 1º Fica definido o valor da URM (Unidade de Referência Municipal) em </w:t>
      </w:r>
      <w:r>
        <w:rPr>
          <w:rFonts w:ascii="Arial" w:hAnsi="Arial"/>
          <w:color w:val="000000"/>
          <w:sz w:val="22"/>
          <w:szCs w:val="22"/>
        </w:rPr>
        <w:t xml:space="preserve">R$ 6,40 (seis reais e quarenta centavos) </w:t>
      </w:r>
      <w:r>
        <w:rPr>
          <w:rFonts w:ascii="Arial" w:hAnsi="Arial"/>
          <w:color w:val="000000"/>
          <w:sz w:val="22"/>
          <w:szCs w:val="22"/>
        </w:rPr>
        <w:t>para o exercício 2022.</w:t>
      </w:r>
    </w:p>
    <w:p>
      <w:pPr>
        <w:pStyle w:val="Normal"/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Parágrafo Único – A atualização da URM leva em consideração a aplicação do IGP-M – Índice Geral de Preços de Mercado.</w:t>
      </w:r>
    </w:p>
    <w:p>
      <w:pPr>
        <w:pStyle w:val="Normal"/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Art. 2º Considerando que a vigência da Lei Municipal nº 1.256, de 28 de setembro de 2021, ficam recepcionados os valores fixados para a planta de valores para fins de cobrança de IPTU e ITBI, no exercício de 2022.</w:t>
      </w:r>
    </w:p>
    <w:p>
      <w:pPr>
        <w:pStyle w:val="Normal"/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Art. 3º Ficam definidos os valores abaixo para a </w:t>
      </w:r>
      <w:r>
        <w:rPr>
          <w:rFonts w:ascii="Arial" w:hAnsi="Arial"/>
          <w:sz w:val="22"/>
          <w:szCs w:val="22"/>
        </w:rPr>
        <w:t>cobrança da</w:t>
      </w:r>
      <w:r>
        <w:rPr>
          <w:rFonts w:ascii="Arial" w:hAnsi="Arial"/>
          <w:sz w:val="22"/>
          <w:szCs w:val="22"/>
        </w:rPr>
        <w:t xml:space="preserve"> tarifa de água:</w:t>
      </w:r>
    </w:p>
    <w:p>
      <w:pPr>
        <w:pStyle w:val="Normal"/>
        <w:ind w:firstLine="708"/>
        <w:jc w:val="both"/>
        <w:rPr>
          <w:rFonts w:ascii="Arial" w:hAnsi="Arial"/>
          <w:sz w:val="22"/>
          <w:szCs w:val="22"/>
        </w:rPr>
      </w:pPr>
      <w:r>
        <w:rPr/>
      </w:r>
    </w:p>
    <w:tbl>
      <w:tblPr>
        <w:tblW w:w="5373" w:type="dxa"/>
        <w:jc w:val="left"/>
        <w:tblInd w:w="1572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036"/>
        <w:gridCol w:w="1337"/>
      </w:tblGrid>
      <w:tr>
        <w:trPr/>
        <w:tc>
          <w:tcPr>
            <w:tcW w:w="5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spacing w:lineRule="auto" w:line="24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Classificação Tarifa Normal</w:t>
            </w:r>
          </w:p>
        </w:tc>
      </w:tr>
      <w:tr>
        <w:trPr/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spacing w:lineRule="auto" w:line="240"/>
              <w:jc w:val="center"/>
              <w:rPr/>
            </w:pPr>
            <w:r>
              <w:rPr/>
              <w:t>Tarifa mínima com consumo de a</w:t>
            </w:r>
            <w:r>
              <w:rPr/>
              <w:t>té 5 m³</w:t>
            </w:r>
          </w:p>
        </w:tc>
        <w:tc>
          <w:tcPr>
            <w:tcW w:w="1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spacing w:lineRule="auto" w:line="240"/>
              <w:jc w:val="center"/>
              <w:rPr/>
            </w:pPr>
            <w:r>
              <w:rPr/>
              <w:t>R$ 5,44</w:t>
            </w:r>
          </w:p>
        </w:tc>
      </w:tr>
      <w:tr>
        <w:trPr/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spacing w:lineRule="auto" w:line="240"/>
              <w:jc w:val="center"/>
              <w:rPr/>
            </w:pPr>
            <w:r>
              <w:rPr/>
              <w:t>Metro cúbico de excesso com consumo d</w:t>
            </w:r>
            <w:r>
              <w:rPr/>
              <w:t>e 6 até 10 m³</w:t>
            </w:r>
          </w:p>
        </w:tc>
        <w:tc>
          <w:tcPr>
            <w:tcW w:w="1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spacing w:lineRule="auto" w:line="240"/>
              <w:jc w:val="center"/>
              <w:rPr/>
            </w:pPr>
            <w:r>
              <w:rPr/>
              <w:t>R$ 1,36</w:t>
            </w:r>
          </w:p>
        </w:tc>
      </w:tr>
      <w:tr>
        <w:trPr/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spacing w:lineRule="auto" w:line="240"/>
              <w:jc w:val="center"/>
              <w:rPr/>
            </w:pPr>
            <w:r>
              <w:rPr/>
              <w:t>Metro cúbico de excesso com consumo d</w:t>
            </w:r>
            <w:r>
              <w:rPr/>
              <w:t>e 11 até 15 m³</w:t>
            </w:r>
          </w:p>
        </w:tc>
        <w:tc>
          <w:tcPr>
            <w:tcW w:w="1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spacing w:lineRule="auto" w:line="240"/>
              <w:jc w:val="center"/>
              <w:rPr/>
            </w:pPr>
            <w:r>
              <w:rPr/>
              <w:t>R$ 1,82</w:t>
            </w:r>
          </w:p>
        </w:tc>
      </w:tr>
      <w:tr>
        <w:trPr/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spacing w:lineRule="auto" w:line="240"/>
              <w:jc w:val="center"/>
              <w:rPr/>
            </w:pPr>
            <w:r>
              <w:rPr/>
              <w:t>Metro cúbico de excesso com consumo a</w:t>
            </w:r>
            <w:r>
              <w:rPr/>
              <w:t>cima de 15 m³</w:t>
            </w:r>
          </w:p>
        </w:tc>
        <w:tc>
          <w:tcPr>
            <w:tcW w:w="1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spacing w:lineRule="auto" w:line="240"/>
              <w:jc w:val="center"/>
              <w:rPr/>
            </w:pPr>
            <w:r>
              <w:rPr/>
              <w:t>R$ 2,18</w:t>
            </w:r>
          </w:p>
        </w:tc>
      </w:tr>
      <w:tr>
        <w:trPr/>
        <w:tc>
          <w:tcPr>
            <w:tcW w:w="537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spacing w:lineRule="auto" w:line="24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Classificação Tarifa Especial</w:t>
            </w:r>
          </w:p>
        </w:tc>
      </w:tr>
      <w:tr>
        <w:trPr/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spacing w:lineRule="auto" w:line="240"/>
              <w:jc w:val="center"/>
              <w:rPr/>
            </w:pPr>
            <w:r>
              <w:rPr/>
              <w:t>Tarifa mínima com consumo de a</w:t>
            </w:r>
            <w:r>
              <w:rPr/>
              <w:t>té 5 m³</w:t>
            </w:r>
          </w:p>
        </w:tc>
        <w:tc>
          <w:tcPr>
            <w:tcW w:w="1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spacing w:lineRule="auto" w:line="240"/>
              <w:jc w:val="center"/>
              <w:rPr/>
            </w:pPr>
            <w:r>
              <w:rPr/>
              <w:t>R</w:t>
            </w:r>
            <w:r>
              <w:rPr/>
              <w:t>$</w:t>
            </w:r>
            <w:r>
              <w:rPr/>
              <w:t xml:space="preserve"> 3,40</w:t>
            </w:r>
          </w:p>
        </w:tc>
      </w:tr>
      <w:tr>
        <w:trPr/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spacing w:lineRule="auto" w:line="240"/>
              <w:jc w:val="center"/>
              <w:rPr/>
            </w:pPr>
            <w:r>
              <w:rPr/>
              <w:t>Metro cúbico de e</w:t>
            </w:r>
            <w:r>
              <w:rPr/>
              <w:t>xcesso de 6 até 10 m³</w:t>
            </w:r>
          </w:p>
        </w:tc>
        <w:tc>
          <w:tcPr>
            <w:tcW w:w="1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spacing w:lineRule="auto" w:line="240"/>
              <w:jc w:val="center"/>
              <w:rPr/>
            </w:pPr>
            <w:r>
              <w:rPr/>
              <w:t>R$ 1,22</w:t>
            </w:r>
          </w:p>
        </w:tc>
      </w:tr>
    </w:tbl>
    <w:p>
      <w:pPr>
        <w:pStyle w:val="Normal"/>
        <w:ind w:firstLine="708"/>
        <w:jc w:val="both"/>
        <w:rPr>
          <w:rFonts w:ascii="Arial" w:hAnsi="Arial"/>
          <w:sz w:val="22"/>
          <w:szCs w:val="22"/>
        </w:rPr>
      </w:pPr>
      <w:r>
        <w:rPr/>
      </w:r>
    </w:p>
    <w:p>
      <w:pPr>
        <w:pStyle w:val="Normal"/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Parágrafo Único – A atualização das tarifas de água levam em consideração a aplicação do IPCA – Índice Nacional ao Consumidor Amplo.</w:t>
      </w:r>
    </w:p>
    <w:p>
      <w:pPr>
        <w:pStyle w:val="Normal"/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Art. 4° Este Decreto entra em vigor na data de sua publicação.</w:t>
      </w:r>
    </w:p>
    <w:p>
      <w:pPr>
        <w:pStyle w:val="Normal"/>
        <w:ind w:firstLine="708"/>
        <w:jc w:val="both"/>
        <w:rPr>
          <w:rFonts w:ascii="Arial" w:hAnsi="Arial"/>
          <w:sz w:val="22"/>
          <w:szCs w:val="22"/>
        </w:rPr>
      </w:pPr>
      <w:r>
        <w:rPr/>
      </w:r>
    </w:p>
    <w:p>
      <w:pPr>
        <w:pStyle w:val="Normal"/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ind w:firstLine="708"/>
        <w:jc w:val="righ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Gabinete do Prefeito, de Bozano em </w:t>
      </w:r>
      <w:r>
        <w:rPr>
          <w:rFonts w:ascii="Arial" w:hAnsi="Arial"/>
          <w:sz w:val="22"/>
          <w:szCs w:val="22"/>
        </w:rPr>
        <w:t>2</w:t>
      </w:r>
      <w:r>
        <w:rPr>
          <w:rFonts w:ascii="Arial" w:hAnsi="Arial"/>
          <w:sz w:val="22"/>
          <w:szCs w:val="22"/>
        </w:rPr>
        <w:t>5</w:t>
      </w:r>
      <w:r>
        <w:rPr>
          <w:rFonts w:ascii="Arial" w:hAnsi="Arial"/>
          <w:sz w:val="22"/>
          <w:szCs w:val="22"/>
        </w:rPr>
        <w:t xml:space="preserve"> de </w:t>
      </w:r>
      <w:r>
        <w:rPr>
          <w:rFonts w:ascii="Arial" w:hAnsi="Arial"/>
          <w:sz w:val="22"/>
          <w:szCs w:val="22"/>
        </w:rPr>
        <w:t>fevereiro</w:t>
      </w:r>
      <w:r>
        <w:rPr>
          <w:rFonts w:ascii="Arial" w:hAnsi="Arial"/>
          <w:sz w:val="22"/>
          <w:szCs w:val="22"/>
        </w:rPr>
        <w:t xml:space="preserve"> de 2022.</w:t>
      </w:r>
    </w:p>
    <w:p>
      <w:pPr>
        <w:pStyle w:val="Normal"/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ind w:firstLine="708"/>
        <w:jc w:val="both"/>
        <w:rPr>
          <w:rFonts w:ascii="Arial" w:hAnsi="Arial"/>
          <w:b w:val="false"/>
          <w:b w:val="false"/>
          <w:bCs w:val="false"/>
          <w:sz w:val="22"/>
          <w:szCs w:val="22"/>
        </w:rPr>
      </w:pPr>
      <w:r>
        <w:rPr>
          <w:rFonts w:ascii="Arial" w:hAnsi="Arial"/>
          <w:b w:val="false"/>
          <w:bCs w:val="false"/>
          <w:sz w:val="22"/>
          <w:szCs w:val="22"/>
        </w:rPr>
      </w:r>
    </w:p>
    <w:p>
      <w:pPr>
        <w:pStyle w:val="Normal"/>
        <w:ind w:firstLine="708"/>
        <w:jc w:val="center"/>
        <w:rPr>
          <w:b w:val="false"/>
          <w:b w:val="false"/>
          <w:bCs w:val="false"/>
        </w:rPr>
      </w:pPr>
      <w:r>
        <w:rPr>
          <w:rFonts w:ascii="Arial" w:hAnsi="Arial"/>
          <w:b w:val="false"/>
          <w:bCs w:val="false"/>
          <w:sz w:val="22"/>
          <w:szCs w:val="22"/>
        </w:rPr>
        <w:t>RENATO LUIS CASAGRANDE</w:t>
      </w:r>
    </w:p>
    <w:p>
      <w:pPr>
        <w:pStyle w:val="Normal"/>
        <w:ind w:firstLine="708"/>
        <w:jc w:val="center"/>
        <w:rPr>
          <w:b w:val="false"/>
          <w:b w:val="false"/>
          <w:bCs w:val="false"/>
        </w:rPr>
      </w:pPr>
      <w:r>
        <w:rPr>
          <w:rFonts w:ascii="Arial" w:hAnsi="Arial"/>
          <w:b w:val="false"/>
          <w:bCs w:val="false"/>
          <w:sz w:val="22"/>
          <w:szCs w:val="22"/>
        </w:rPr>
        <w:t>Prefeito</w:t>
      </w:r>
    </w:p>
    <w:p>
      <w:pPr>
        <w:pStyle w:val="Normal"/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jc w:val="both"/>
        <w:rPr/>
      </w:pPr>
      <w:r>
        <w:rPr>
          <w:rFonts w:ascii="Arial" w:hAnsi="Arial"/>
          <w:sz w:val="22"/>
          <w:szCs w:val="22"/>
        </w:rPr>
        <w:t>Registre-se e Publique-se: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rPr>
          <w:b w:val="false"/>
          <w:b w:val="false"/>
          <w:bCs w:val="false"/>
        </w:rPr>
      </w:pPr>
      <w:r>
        <w:rPr>
          <w:rFonts w:ascii="Arial" w:hAnsi="Arial"/>
          <w:b w:val="false"/>
          <w:bCs w:val="false"/>
          <w:sz w:val="22"/>
          <w:szCs w:val="22"/>
        </w:rPr>
        <w:t>INARA CAROLINE E LIMA MASTELLA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rPr>
          <w:b w:val="false"/>
          <w:b w:val="false"/>
          <w:bCs w:val="false"/>
        </w:rPr>
      </w:pPr>
      <w:r>
        <w:rPr>
          <w:rFonts w:ascii="Arial" w:hAnsi="Arial"/>
          <w:b w:val="false"/>
          <w:bCs w:val="false"/>
          <w:sz w:val="22"/>
          <w:szCs w:val="22"/>
        </w:rPr>
        <w:t>Sec</w:t>
      </w:r>
      <w:r>
        <w:rPr>
          <w:rFonts w:ascii="Arial" w:hAnsi="Arial"/>
          <w:b w:val="false"/>
          <w:bCs w:val="false"/>
          <w:sz w:val="22"/>
          <w:szCs w:val="22"/>
        </w:rPr>
        <w:t>retária</w:t>
      </w:r>
      <w:r>
        <w:rPr>
          <w:rFonts w:ascii="Arial" w:hAnsi="Arial"/>
          <w:b w:val="false"/>
          <w:bCs w:val="false"/>
          <w:sz w:val="22"/>
          <w:szCs w:val="22"/>
        </w:rPr>
        <w:t xml:space="preserve"> Mun</w:t>
      </w:r>
      <w:r>
        <w:rPr>
          <w:rFonts w:ascii="Arial" w:hAnsi="Arial"/>
          <w:b w:val="false"/>
          <w:bCs w:val="false"/>
          <w:sz w:val="22"/>
          <w:szCs w:val="22"/>
        </w:rPr>
        <w:t>icipal</w:t>
      </w:r>
      <w:r>
        <w:rPr>
          <w:rFonts w:ascii="Arial" w:hAnsi="Arial"/>
          <w:b w:val="false"/>
          <w:bCs w:val="false"/>
          <w:sz w:val="22"/>
          <w:szCs w:val="22"/>
        </w:rPr>
        <w:t xml:space="preserve"> de Adm</w:t>
      </w:r>
      <w:r>
        <w:rPr>
          <w:rFonts w:ascii="Arial" w:hAnsi="Arial"/>
          <w:b w:val="false"/>
          <w:bCs w:val="false"/>
          <w:sz w:val="22"/>
          <w:szCs w:val="22"/>
        </w:rPr>
        <w:t>inistração</w:t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/>
      </w:r>
    </w:p>
    <w:sectPr>
      <w:type w:val="nextPage"/>
      <w:pgSz w:w="11906" w:h="16838"/>
      <w:pgMar w:left="1701" w:right="1701" w:gutter="0" w:header="0" w:top="2835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85"/>
  <w:defaultTabStop w:val="708"/>
  <w:autoHyphenation w:val="true"/>
  <w:compat>
    <w:compatSetting w:name="compatibilityMode" w:uri="http://schemas.microsoft.com/office/word" w:val="12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430dd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800</TotalTime>
  <Application>LibreOffice/7.3.1.3$Windows_X86_64 LibreOffice_project/a69ca51ded25f3eefd52d7bf9a5fad8c90b87951</Application>
  <AppVersion>15.0000</AppVersion>
  <Pages>2</Pages>
  <Words>321</Words>
  <Characters>1490</Characters>
  <CharactersWithSpaces>1779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2020-12-30T13:58:00Z</dcterms:created>
  <dc:creator>Usuario</dc:creator>
  <dc:description/>
  <dc:language>pt-BR</dc:language>
  <cp:lastModifiedBy/>
  <cp:lastPrinted>2022-03-29T15:49:42Z</cp:lastPrinted>
  <dcterms:modified xsi:type="dcterms:W3CDTF">2022-03-29T15:49:45Z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