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33BE" w14:textId="297589B5" w:rsidR="00F74958" w:rsidRPr="00562E47" w:rsidRDefault="00F74958" w:rsidP="00F74958">
      <w:pPr>
        <w:jc w:val="center"/>
        <w:rPr>
          <w:rFonts w:ascii="Arial" w:hAnsi="Arial" w:cs="Arial"/>
          <w:b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 xml:space="preserve">ATA DE REGISTRO DE PREÇOS Nº </w:t>
      </w:r>
      <w:r w:rsidR="00562E47" w:rsidRPr="00562E47">
        <w:rPr>
          <w:rFonts w:ascii="Arial" w:hAnsi="Arial" w:cs="Arial"/>
          <w:b/>
          <w:sz w:val="16"/>
          <w:szCs w:val="16"/>
        </w:rPr>
        <w:t>3/2022</w:t>
      </w:r>
    </w:p>
    <w:p w14:paraId="710BE0AE" w14:textId="77777777" w:rsidR="00F74958" w:rsidRPr="00562E47" w:rsidRDefault="00F74958" w:rsidP="00F74958">
      <w:pPr>
        <w:pStyle w:val="Default"/>
        <w:spacing w:line="360" w:lineRule="auto"/>
        <w:jc w:val="center"/>
        <w:rPr>
          <w:b/>
          <w:sz w:val="16"/>
          <w:szCs w:val="16"/>
        </w:rPr>
      </w:pPr>
    </w:p>
    <w:p w14:paraId="6FB75930" w14:textId="77777777" w:rsidR="00F74958" w:rsidRPr="00562E47" w:rsidRDefault="00F74958" w:rsidP="00F74958">
      <w:pPr>
        <w:pStyle w:val="Default"/>
        <w:spacing w:line="360" w:lineRule="auto"/>
        <w:jc w:val="center"/>
        <w:rPr>
          <w:b/>
          <w:sz w:val="16"/>
          <w:szCs w:val="16"/>
        </w:rPr>
      </w:pPr>
      <w:r w:rsidRPr="00562E47">
        <w:rPr>
          <w:b/>
          <w:sz w:val="16"/>
          <w:szCs w:val="16"/>
        </w:rPr>
        <w:t>PREGÃO PRESENCIAL N° 3/2022</w:t>
      </w:r>
    </w:p>
    <w:p w14:paraId="67E56884" w14:textId="77777777" w:rsidR="00F74958" w:rsidRPr="00562E47" w:rsidRDefault="00F74958" w:rsidP="00F74958">
      <w:pPr>
        <w:pStyle w:val="Default"/>
        <w:spacing w:line="360" w:lineRule="auto"/>
        <w:jc w:val="center"/>
        <w:rPr>
          <w:b/>
          <w:sz w:val="16"/>
          <w:szCs w:val="16"/>
        </w:rPr>
      </w:pPr>
    </w:p>
    <w:p w14:paraId="66E78750" w14:textId="266785FC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sz w:val="16"/>
          <w:szCs w:val="16"/>
        </w:rPr>
        <w:t xml:space="preserve">Aos </w:t>
      </w:r>
      <w:r w:rsidR="00562E47" w:rsidRPr="00562E47">
        <w:rPr>
          <w:sz w:val="16"/>
          <w:szCs w:val="16"/>
        </w:rPr>
        <w:t>04</w:t>
      </w:r>
      <w:r w:rsidRPr="00562E47">
        <w:rPr>
          <w:sz w:val="16"/>
          <w:szCs w:val="16"/>
        </w:rPr>
        <w:t xml:space="preserve"> dias do mês de </w:t>
      </w:r>
      <w:r w:rsidR="00562E47" w:rsidRPr="00562E47">
        <w:rPr>
          <w:sz w:val="16"/>
          <w:szCs w:val="16"/>
        </w:rPr>
        <w:t xml:space="preserve">março </w:t>
      </w:r>
      <w:r w:rsidRPr="00562E47">
        <w:rPr>
          <w:sz w:val="16"/>
          <w:szCs w:val="16"/>
        </w:rPr>
        <w:t>de 20</w:t>
      </w:r>
      <w:r w:rsidR="00562E47" w:rsidRPr="00562E47">
        <w:rPr>
          <w:sz w:val="16"/>
          <w:szCs w:val="16"/>
        </w:rPr>
        <w:t>22</w:t>
      </w:r>
      <w:r w:rsidRPr="00562E47">
        <w:rPr>
          <w:sz w:val="16"/>
          <w:szCs w:val="16"/>
        </w:rPr>
        <w:t xml:space="preserve">, na Sala do Setor de Compras e Licitações, localizada em dependências do Centro Administrativo, sito à Rua Silvio Frederico Ceccato, n° 518, os responsáveis pelo Órgão Gerenciador, nos termos do art. 15 da Lei nº 8.666/93, de 21 de junho de 1993 e Decreto-Executivo municipal n° 617/2016, em face da classificação das propostas apresentadas no PREGÃO PRESENCIAL Nº 3/2022, para REGISTRO DE PREÇOS, por deliberação do Pregoeiro e Equipe de apoio, homologado em </w:t>
      </w:r>
      <w:r w:rsidR="00562E47" w:rsidRPr="00562E47">
        <w:rPr>
          <w:sz w:val="16"/>
          <w:szCs w:val="16"/>
        </w:rPr>
        <w:t>04 de março de 2022</w:t>
      </w:r>
      <w:r w:rsidRPr="00562E47">
        <w:rPr>
          <w:sz w:val="16"/>
          <w:szCs w:val="16"/>
        </w:rPr>
        <w:t xml:space="preserve"> e publicado no Meio de Divulgação Oficial do Município em </w:t>
      </w:r>
      <w:r w:rsidR="00562E47" w:rsidRPr="00562E47">
        <w:rPr>
          <w:sz w:val="16"/>
          <w:szCs w:val="16"/>
        </w:rPr>
        <w:t>04 de março de 2022</w:t>
      </w:r>
      <w:r w:rsidRPr="00562E47">
        <w:rPr>
          <w:sz w:val="16"/>
          <w:szCs w:val="16"/>
        </w:rPr>
        <w:t xml:space="preserve">, resolve REGISTRAR OS PREÇOS das empresas com preços mais vantajosos, por item, observadas as condições do Edital que regeu o Pregão Presencial, aquelas enunciadas abaixo e nos itens que se seguem. </w:t>
      </w:r>
    </w:p>
    <w:p w14:paraId="5B3EEF76" w14:textId="4C2BC155" w:rsidR="00F74958" w:rsidRPr="00562E47" w:rsidRDefault="00F74958" w:rsidP="00F74958">
      <w:pPr>
        <w:pStyle w:val="Default"/>
        <w:spacing w:line="360" w:lineRule="auto"/>
        <w:jc w:val="both"/>
        <w:rPr>
          <w:b/>
          <w:sz w:val="16"/>
          <w:szCs w:val="16"/>
        </w:rPr>
      </w:pPr>
      <w:r w:rsidRPr="00562E47">
        <w:rPr>
          <w:b/>
          <w:sz w:val="16"/>
          <w:szCs w:val="16"/>
        </w:rPr>
        <w:t xml:space="preserve">Empresa vencedora: </w:t>
      </w:r>
    </w:p>
    <w:p w14:paraId="017D852C" w14:textId="77777777" w:rsidR="00562E47" w:rsidRPr="00562E47" w:rsidRDefault="00562E47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i/>
          <w:iCs/>
          <w:sz w:val="16"/>
          <w:szCs w:val="16"/>
        </w:rPr>
        <w:t>Item único</w:t>
      </w:r>
      <w:r w:rsidRPr="00562E47">
        <w:rPr>
          <w:sz w:val="16"/>
          <w:szCs w:val="16"/>
        </w:rPr>
        <w:t>:</w:t>
      </w:r>
    </w:p>
    <w:p w14:paraId="5EBF3B06" w14:textId="0ECA3243" w:rsidR="00562E47" w:rsidRPr="00562E47" w:rsidRDefault="00562E47" w:rsidP="00F74958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  <w:r w:rsidRPr="00562E47">
        <w:rPr>
          <w:b/>
          <w:sz w:val="16"/>
          <w:szCs w:val="16"/>
        </w:rPr>
        <w:t>RH TERRAPLENAGEM E SERVIÇOS LTDA – EPP</w:t>
      </w:r>
      <w:r w:rsidRPr="00562E47">
        <w:rPr>
          <w:sz w:val="16"/>
          <w:szCs w:val="16"/>
        </w:rPr>
        <w:t>, CNPJ nº 09.213.456/0001-04, estabelecida à Rua São Francisco, 550, Apto 902, Bairro São Geraldo,</w:t>
      </w:r>
      <w:r w:rsidRPr="00562E47">
        <w:rPr>
          <w:sz w:val="16"/>
          <w:szCs w:val="16"/>
        </w:rPr>
        <w:t xml:space="preserve"> na cidade de Ijuí/RS,</w:t>
      </w:r>
      <w:r w:rsidRPr="00562E47">
        <w:rPr>
          <w:sz w:val="16"/>
          <w:szCs w:val="16"/>
        </w:rPr>
        <w:t xml:space="preserve"> representada nesse ato pelo sócio </w:t>
      </w:r>
      <w:r w:rsidRPr="00562E47">
        <w:rPr>
          <w:sz w:val="16"/>
          <w:szCs w:val="16"/>
        </w:rPr>
        <w:t>ROGÉRIO</w:t>
      </w:r>
      <w:r w:rsidRPr="00562E47">
        <w:rPr>
          <w:sz w:val="16"/>
          <w:szCs w:val="16"/>
        </w:rPr>
        <w:t xml:space="preserve"> KNEBEL OTTONELLI, CPF nº </w:t>
      </w:r>
      <w:r w:rsidRPr="00562E47">
        <w:rPr>
          <w:sz w:val="16"/>
          <w:szCs w:val="16"/>
        </w:rPr>
        <w:t>504.984.360-04.</w:t>
      </w:r>
    </w:p>
    <w:p w14:paraId="6D1D5474" w14:textId="476A9411" w:rsidR="00F74958" w:rsidRPr="00562E47" w:rsidRDefault="00F74958" w:rsidP="00F74958">
      <w:pPr>
        <w:pStyle w:val="Default"/>
        <w:spacing w:line="360" w:lineRule="auto"/>
        <w:jc w:val="both"/>
        <w:rPr>
          <w:b/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1 </w:t>
      </w:r>
      <w:r w:rsidRPr="00562E47">
        <w:rPr>
          <w:b/>
          <w:sz w:val="16"/>
          <w:szCs w:val="16"/>
        </w:rPr>
        <w:t xml:space="preserve">– OBJETO </w:t>
      </w:r>
    </w:p>
    <w:p w14:paraId="193DD1D1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sz w:val="16"/>
          <w:szCs w:val="16"/>
        </w:rPr>
        <w:t xml:space="preserve">A presente Ata de Registro de Preços tem por objeto o registro de preços, dos serviços de escavadeira hidráulica e rompedor hidráulico, mediante o emprego dos equipamentos, especificados no Anexo I do Edital de PREGÃO PRESENCIAL Nº 3/2022, que passa a fazer parte integrante desta. </w:t>
      </w:r>
    </w:p>
    <w:p w14:paraId="73A6F326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2 </w:t>
      </w:r>
      <w:r w:rsidRPr="00562E47">
        <w:rPr>
          <w:b/>
          <w:sz w:val="16"/>
          <w:szCs w:val="16"/>
        </w:rPr>
        <w:t xml:space="preserve">– VIGÊNCIA </w:t>
      </w:r>
    </w:p>
    <w:p w14:paraId="66CAE9CB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sz w:val="16"/>
          <w:szCs w:val="16"/>
        </w:rPr>
        <w:t xml:space="preserve">A presente Ata de Registro de preços vigorará pelo prazo de 12 (doze) meses, a partir de sua assinatura. </w:t>
      </w:r>
    </w:p>
    <w:p w14:paraId="11780DA8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2.1 </w:t>
      </w:r>
      <w:r w:rsidRPr="00562E47">
        <w:rPr>
          <w:sz w:val="16"/>
          <w:szCs w:val="16"/>
        </w:rPr>
        <w:t xml:space="preserve">Nos termos do art. 15, § 4º da Lei nº 8.666/93, e do </w:t>
      </w:r>
      <w:proofErr w:type="spellStart"/>
      <w:r w:rsidRPr="00562E47">
        <w:rPr>
          <w:sz w:val="16"/>
          <w:szCs w:val="16"/>
        </w:rPr>
        <w:t>art</w:t>
      </w:r>
      <w:proofErr w:type="spellEnd"/>
      <w:r w:rsidRPr="00562E47">
        <w:rPr>
          <w:sz w:val="16"/>
          <w:szCs w:val="16"/>
        </w:rPr>
        <w:t xml:space="preserve"> 18 do Decreto Executivo nº 617/2016, esse Município não </w:t>
      </w:r>
      <w:proofErr w:type="spellStart"/>
      <w:proofErr w:type="gramStart"/>
      <w:r w:rsidRPr="00562E47">
        <w:rPr>
          <w:sz w:val="16"/>
          <w:szCs w:val="16"/>
        </w:rPr>
        <w:t>esta</w:t>
      </w:r>
      <w:proofErr w:type="spellEnd"/>
      <w:proofErr w:type="gramEnd"/>
      <w:r w:rsidRPr="00562E47">
        <w:rPr>
          <w:sz w:val="16"/>
          <w:szCs w:val="16"/>
        </w:rPr>
        <w:t xml:space="preserve"> obrigado a adquirir exclusivamente por intermédio da presente Ata, durante o seu período de vigência, os serviços cujos preços nela estejam registrados, podendo adotar para tanto uma licitação específica, assegurando-se, todavia, a preferência de fornecimento aos registrados, no caso de igualdade de condições.</w:t>
      </w:r>
    </w:p>
    <w:p w14:paraId="45B091A4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3 </w:t>
      </w:r>
      <w:r w:rsidRPr="00562E47">
        <w:rPr>
          <w:b/>
          <w:sz w:val="16"/>
          <w:szCs w:val="16"/>
        </w:rPr>
        <w:t xml:space="preserve">– PREÇOS </w:t>
      </w:r>
    </w:p>
    <w:p w14:paraId="21D00F7B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sz w:val="16"/>
          <w:szCs w:val="16"/>
        </w:rPr>
        <w:t>Os preços ofertados pelas empresas signatárias da presente Ata de Registro de Preços constam do Demonstrativo de Propostas Vencedoras, em anexo a esta.</w:t>
      </w:r>
    </w:p>
    <w:p w14:paraId="45EE9F6D" w14:textId="77777777" w:rsidR="00F74958" w:rsidRPr="00562E47" w:rsidRDefault="00F74958" w:rsidP="00F74958">
      <w:pPr>
        <w:pStyle w:val="Default"/>
        <w:spacing w:line="360" w:lineRule="auto"/>
        <w:jc w:val="both"/>
        <w:rPr>
          <w:b/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4 </w:t>
      </w:r>
      <w:r w:rsidRPr="00562E47">
        <w:rPr>
          <w:b/>
          <w:sz w:val="16"/>
          <w:szCs w:val="16"/>
        </w:rPr>
        <w:t xml:space="preserve">– CONDIÇÕES DE FORNECIMENTO </w:t>
      </w:r>
    </w:p>
    <w:p w14:paraId="6E66E5D9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4.1 </w:t>
      </w:r>
      <w:r w:rsidRPr="00562E47">
        <w:rPr>
          <w:sz w:val="16"/>
          <w:szCs w:val="16"/>
        </w:rPr>
        <w:t xml:space="preserve">As solicitações de execução dos serviços à contratada por parte dos órgãos participantes (OP) serão feitas por escrito, através de Autorização de Fornecimento (AF), preenchidos em modelo próprio (Anexo III do Edital), datados e assinados pelos Gestores de Municiamento, com cópia obrigatória para o OG. </w:t>
      </w:r>
    </w:p>
    <w:p w14:paraId="7C8C9A15" w14:textId="77777777" w:rsidR="00F74958" w:rsidRPr="00562E47" w:rsidRDefault="00F74958" w:rsidP="00F74958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 w:rsidRPr="00562E47">
        <w:rPr>
          <w:b/>
          <w:bCs/>
          <w:color w:val="auto"/>
          <w:sz w:val="16"/>
          <w:szCs w:val="16"/>
        </w:rPr>
        <w:t xml:space="preserve">4.2 </w:t>
      </w:r>
      <w:r w:rsidRPr="00562E47">
        <w:rPr>
          <w:color w:val="auto"/>
          <w:sz w:val="16"/>
          <w:szCs w:val="16"/>
        </w:rPr>
        <w:t xml:space="preserve">As </w:t>
      </w:r>
      <w:proofErr w:type="spellStart"/>
      <w:r w:rsidRPr="00562E47">
        <w:rPr>
          <w:color w:val="auto"/>
          <w:sz w:val="16"/>
          <w:szCs w:val="16"/>
        </w:rPr>
        <w:t>AFs</w:t>
      </w:r>
      <w:proofErr w:type="spellEnd"/>
      <w:r w:rsidRPr="00562E47">
        <w:rPr>
          <w:color w:val="auto"/>
          <w:sz w:val="16"/>
          <w:szCs w:val="16"/>
        </w:rPr>
        <w:t xml:space="preserve"> poderão ser entregues diretamente no escritório da contratada ou encaminhados por meios eletrônicos, com uma antecedência mínima de 3 (três) dias úteis. </w:t>
      </w:r>
    </w:p>
    <w:p w14:paraId="39001955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color w:val="auto"/>
          <w:sz w:val="16"/>
          <w:szCs w:val="16"/>
        </w:rPr>
        <w:t xml:space="preserve">4.3 </w:t>
      </w:r>
      <w:r w:rsidRPr="00562E47">
        <w:rPr>
          <w:sz w:val="16"/>
          <w:szCs w:val="16"/>
        </w:rPr>
        <w:t>A execução dos serviços mediante o emprego de equipamentos, deverão ser iniciados pelo FORNECEDOR, no prazo improrrogável de 2 (dois) dias úteis, contados da data de recebimento da Autorização de Fornecimento, emitida pela Central de Compras do Município.</w:t>
      </w:r>
    </w:p>
    <w:p w14:paraId="53D8958A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sz w:val="16"/>
          <w:szCs w:val="16"/>
        </w:rPr>
        <w:t xml:space="preserve">4.4 </w:t>
      </w:r>
      <w:r w:rsidRPr="00562E47">
        <w:rPr>
          <w:sz w:val="16"/>
          <w:szCs w:val="16"/>
        </w:rPr>
        <w:t>Os equipamentos deverão permanecer à disposição do Município de forma ininterrupta, até a efetiva finalização dos serviços objeto de cada ordem expedida.</w:t>
      </w:r>
    </w:p>
    <w:p w14:paraId="36EDA9CC" w14:textId="77777777" w:rsidR="00F74958" w:rsidRPr="00562E47" w:rsidRDefault="00F74958" w:rsidP="00F74958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>4.5</w:t>
      </w:r>
      <w:r w:rsidRPr="00562E47">
        <w:rPr>
          <w:rFonts w:ascii="Arial" w:hAnsi="Arial" w:cs="Arial"/>
          <w:sz w:val="16"/>
          <w:szCs w:val="16"/>
        </w:rPr>
        <w:t xml:space="preserve"> O FORNECEDOR executará os serviços ora avençados através da utilização de equipamentos e/ou veículos próprios, observando-se a melhor técnica e a todas as normas legais inerentes ao trafego nas vias públicas, inclusive no que pertinente à sinalização.</w:t>
      </w:r>
    </w:p>
    <w:p w14:paraId="5697C8B5" w14:textId="77777777" w:rsidR="00F74958" w:rsidRPr="00562E47" w:rsidRDefault="00F74958" w:rsidP="00F74958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 xml:space="preserve">4.6 </w:t>
      </w:r>
      <w:r w:rsidRPr="00562E47">
        <w:rPr>
          <w:rFonts w:ascii="Arial" w:hAnsi="Arial" w:cs="Arial"/>
          <w:sz w:val="16"/>
          <w:szCs w:val="16"/>
        </w:rPr>
        <w:t xml:space="preserve">Os serviços ora avençados serão executados sob exclusiva responsabilidade do FORNECEDOR, a incluir a alocação de operadores ou motoristas habilitados, combustíveis, manutenção dos equipamentos, bem assim todos os demais </w:t>
      </w:r>
      <w:r w:rsidRPr="00562E47">
        <w:rPr>
          <w:rFonts w:ascii="Arial" w:hAnsi="Arial" w:cs="Arial"/>
          <w:sz w:val="16"/>
          <w:szCs w:val="16"/>
        </w:rPr>
        <w:lastRenderedPageBreak/>
        <w:t>encargos inerentes à plena e regular prestação.</w:t>
      </w:r>
    </w:p>
    <w:p w14:paraId="17FB9A2E" w14:textId="77777777" w:rsidR="00F74958" w:rsidRPr="00562E47" w:rsidRDefault="00F74958" w:rsidP="00F74958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>4.7</w:t>
      </w:r>
      <w:r w:rsidRPr="00562E47">
        <w:rPr>
          <w:rFonts w:ascii="Arial" w:hAnsi="Arial" w:cs="Arial"/>
          <w:sz w:val="16"/>
          <w:szCs w:val="16"/>
        </w:rPr>
        <w:t xml:space="preserve"> Fica facultado ao FORNECEDOR a substituição do equipamento contratado, desde que o faça por outro de iguais ou superiores especificações e características.  </w:t>
      </w:r>
    </w:p>
    <w:p w14:paraId="2A5682B2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4.8 </w:t>
      </w:r>
      <w:r w:rsidRPr="00562E47">
        <w:rPr>
          <w:sz w:val="16"/>
          <w:szCs w:val="16"/>
        </w:rPr>
        <w:t xml:space="preserve">A recusa da contratada em atender à substituição levará à aplicação das sanções previstas no Edital. </w:t>
      </w:r>
    </w:p>
    <w:p w14:paraId="53E0B20B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4.9 </w:t>
      </w:r>
      <w:r w:rsidRPr="00562E47">
        <w:rPr>
          <w:sz w:val="16"/>
          <w:szCs w:val="16"/>
        </w:rPr>
        <w:t>O OG promoverá ampla pesquisa do mercado, de forma a comprovar que os preços registrados permanecem compatíveis com os nele praticados, condição indispensável para a solicitação da aquisição.</w:t>
      </w:r>
    </w:p>
    <w:p w14:paraId="6E1B1F7E" w14:textId="77777777" w:rsidR="00F74958" w:rsidRPr="00562E47" w:rsidRDefault="00F74958" w:rsidP="00F74958">
      <w:pPr>
        <w:pStyle w:val="Default"/>
        <w:spacing w:line="360" w:lineRule="auto"/>
        <w:jc w:val="both"/>
        <w:rPr>
          <w:b/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5 </w:t>
      </w:r>
      <w:r w:rsidRPr="00562E47">
        <w:rPr>
          <w:b/>
          <w:sz w:val="16"/>
          <w:szCs w:val="16"/>
        </w:rPr>
        <w:t xml:space="preserve">– CANCELAMENTO DA ATA DE REGISTRO DE PREÇOS </w:t>
      </w:r>
    </w:p>
    <w:p w14:paraId="21941A43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5.1 </w:t>
      </w:r>
      <w:r w:rsidRPr="00562E47">
        <w:rPr>
          <w:sz w:val="16"/>
          <w:szCs w:val="16"/>
        </w:rPr>
        <w:t xml:space="preserve">O Registro de Preço poderá ser cancelado, nas seguintes hipóteses: </w:t>
      </w:r>
    </w:p>
    <w:p w14:paraId="49C04EFC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sz w:val="16"/>
          <w:szCs w:val="16"/>
        </w:rPr>
        <w:t xml:space="preserve">a) quando o fornecedor não cumprir as obrigações constantes dessa Ata de Registro de Preços; </w:t>
      </w:r>
    </w:p>
    <w:p w14:paraId="71A300CC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sz w:val="16"/>
          <w:szCs w:val="16"/>
        </w:rPr>
        <w:t xml:space="preserve">b) quando o fornecedor não assinar a Ata ou o Contrato quando convocado para tal, sem justificativa aceitável; </w:t>
      </w:r>
    </w:p>
    <w:p w14:paraId="1562777E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sz w:val="16"/>
          <w:szCs w:val="16"/>
        </w:rPr>
        <w:t xml:space="preserve">c) quando o fornecedor não retirar a AF, no prazo estabelecido, sem justificativa aceitável; </w:t>
      </w:r>
    </w:p>
    <w:p w14:paraId="7D8EC71B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sz w:val="16"/>
          <w:szCs w:val="16"/>
        </w:rPr>
        <w:t xml:space="preserve">d) quando o fornecedor não aceitar reduzir o seu preço registrado se esse se tornar superior ao praticado no mercado; </w:t>
      </w:r>
    </w:p>
    <w:p w14:paraId="697948B3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sz w:val="16"/>
          <w:szCs w:val="16"/>
        </w:rPr>
        <w:t xml:space="preserve">e) quando o fornecedor solicitar o cancelamento por escrito, comprovando estar impossibilitado de cumprir as exigências desta Ata de Registro de Preços por fato superveniente, decorrentes de caso fortuito ou força maior; </w:t>
      </w:r>
    </w:p>
    <w:p w14:paraId="6CE6D876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5.2 </w:t>
      </w:r>
      <w:r w:rsidRPr="00562E47">
        <w:rPr>
          <w:sz w:val="16"/>
          <w:szCs w:val="16"/>
        </w:rPr>
        <w:t xml:space="preserve">A comunicação do cancelamento do preço registrado, nos casos previstos nas alíneas “a)” a “e)”, será formalizado em processo próprio e comunicada por correspondência, com aviso de recebimento, assegurado o contraditório e a ampla defesa no prazo de 5 (cinco) dias úteis. </w:t>
      </w:r>
    </w:p>
    <w:p w14:paraId="6F0B141C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5.3 </w:t>
      </w:r>
      <w:r w:rsidRPr="00562E47">
        <w:rPr>
          <w:sz w:val="16"/>
          <w:szCs w:val="16"/>
        </w:rPr>
        <w:t>No caso de se tornar desconhecido o endereço do fornecedor, a comunicação será feita por publicação na Imprensa Oficial, considerando-se, assim, para todos os efeitos, cancelado o preço registrado.</w:t>
      </w:r>
    </w:p>
    <w:p w14:paraId="170F7015" w14:textId="77777777" w:rsidR="00F74958" w:rsidRPr="00562E47" w:rsidRDefault="00F74958" w:rsidP="00F74958">
      <w:pPr>
        <w:pStyle w:val="Default"/>
        <w:spacing w:line="360" w:lineRule="auto"/>
        <w:jc w:val="both"/>
        <w:rPr>
          <w:b/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6 </w:t>
      </w:r>
      <w:r w:rsidRPr="00562E47">
        <w:rPr>
          <w:b/>
          <w:sz w:val="16"/>
          <w:szCs w:val="16"/>
        </w:rPr>
        <w:t xml:space="preserve">– PENALIDADES </w:t>
      </w:r>
    </w:p>
    <w:p w14:paraId="464B9D7C" w14:textId="77777777" w:rsidR="00F74958" w:rsidRPr="00562E47" w:rsidRDefault="00F74958" w:rsidP="00F74958">
      <w:pPr>
        <w:pStyle w:val="TextosemFormata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>6.1</w:t>
      </w:r>
      <w:r w:rsidRPr="00562E47">
        <w:rPr>
          <w:rFonts w:ascii="Arial" w:hAnsi="Arial" w:cs="Arial"/>
          <w:sz w:val="16"/>
          <w:szCs w:val="16"/>
        </w:rPr>
        <w:t xml:space="preserve"> Atraso injustificado no início da prestação dos serviços quando expedida a ordem de serviço pela municipalidade: multa de 5% sobre o valor total da contratação, mais o acrésc</w:t>
      </w:r>
      <w:r w:rsidRPr="00562E47">
        <w:rPr>
          <w:rFonts w:ascii="Arial" w:hAnsi="Arial" w:cs="Arial"/>
          <w:sz w:val="16"/>
          <w:szCs w:val="16"/>
        </w:rPr>
        <w:t>i</w:t>
      </w:r>
      <w:r w:rsidRPr="00562E47">
        <w:rPr>
          <w:rFonts w:ascii="Arial" w:hAnsi="Arial" w:cs="Arial"/>
          <w:sz w:val="16"/>
          <w:szCs w:val="16"/>
        </w:rPr>
        <w:t>mo de 0,5% por dia útil de atraso, limitados estes a 10 (dez) dias úteis, prazo após o qual será considerado inex</w:t>
      </w:r>
      <w:r w:rsidRPr="00562E47">
        <w:rPr>
          <w:rFonts w:ascii="Arial" w:hAnsi="Arial" w:cs="Arial"/>
          <w:sz w:val="16"/>
          <w:szCs w:val="16"/>
        </w:rPr>
        <w:t>e</w:t>
      </w:r>
      <w:r w:rsidRPr="00562E47">
        <w:rPr>
          <w:rFonts w:ascii="Arial" w:hAnsi="Arial" w:cs="Arial"/>
          <w:sz w:val="16"/>
          <w:szCs w:val="16"/>
        </w:rPr>
        <w:t>cução contratual.</w:t>
      </w:r>
    </w:p>
    <w:p w14:paraId="5DE57F4D" w14:textId="77777777" w:rsidR="00F74958" w:rsidRPr="00562E47" w:rsidRDefault="00F74958" w:rsidP="00F74958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>6.2</w:t>
      </w:r>
      <w:r w:rsidRPr="00562E47">
        <w:rPr>
          <w:rFonts w:ascii="Arial" w:hAnsi="Arial" w:cs="Arial"/>
          <w:sz w:val="16"/>
          <w:szCs w:val="16"/>
        </w:rPr>
        <w:t xml:space="preserve"> Inexecução parcial do contrato: suspensão do direito de licitar e contratar com a Administração pelo prazo de 3 anos e multa de 10% sobre o valor correspondente ao mo</w:t>
      </w:r>
      <w:r w:rsidRPr="00562E47">
        <w:rPr>
          <w:rFonts w:ascii="Arial" w:hAnsi="Arial" w:cs="Arial"/>
          <w:sz w:val="16"/>
          <w:szCs w:val="16"/>
        </w:rPr>
        <w:t>n</w:t>
      </w:r>
      <w:r w:rsidRPr="00562E47">
        <w:rPr>
          <w:rFonts w:ascii="Arial" w:hAnsi="Arial" w:cs="Arial"/>
          <w:sz w:val="16"/>
          <w:szCs w:val="16"/>
        </w:rPr>
        <w:t>tante não adimplido do contrato;</w:t>
      </w:r>
    </w:p>
    <w:p w14:paraId="4851A455" w14:textId="77777777" w:rsidR="00F74958" w:rsidRPr="00562E47" w:rsidRDefault="00F74958" w:rsidP="00F74958">
      <w:pPr>
        <w:tabs>
          <w:tab w:val="left" w:pos="1134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>6.3</w:t>
      </w:r>
      <w:r w:rsidRPr="00562E47">
        <w:rPr>
          <w:rFonts w:ascii="Arial" w:hAnsi="Arial" w:cs="Arial"/>
          <w:sz w:val="16"/>
          <w:szCs w:val="16"/>
        </w:rPr>
        <w:t xml:space="preserve"> Inexecução total do contrato: suspensão do direito de licitar e contratar com a Administração pelo prazo de 5 anos e multa de 15% sobre o valor atualizado do co</w:t>
      </w:r>
      <w:r w:rsidRPr="00562E47">
        <w:rPr>
          <w:rFonts w:ascii="Arial" w:hAnsi="Arial" w:cs="Arial"/>
          <w:sz w:val="16"/>
          <w:szCs w:val="16"/>
        </w:rPr>
        <w:t>n</w:t>
      </w:r>
      <w:r w:rsidRPr="00562E47">
        <w:rPr>
          <w:rFonts w:ascii="Arial" w:hAnsi="Arial" w:cs="Arial"/>
          <w:sz w:val="16"/>
          <w:szCs w:val="16"/>
        </w:rPr>
        <w:t>trato</w:t>
      </w:r>
      <w:r w:rsidRPr="00562E47">
        <w:rPr>
          <w:rFonts w:ascii="Arial" w:hAnsi="Arial" w:cs="Arial"/>
          <w:i/>
          <w:sz w:val="16"/>
          <w:szCs w:val="16"/>
        </w:rPr>
        <w:t>;</w:t>
      </w:r>
    </w:p>
    <w:p w14:paraId="7F1A3847" w14:textId="77777777" w:rsidR="00F74958" w:rsidRPr="00562E47" w:rsidRDefault="00F74958" w:rsidP="00F74958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>6.4</w:t>
      </w:r>
      <w:r w:rsidRPr="00562E47">
        <w:rPr>
          <w:rFonts w:ascii="Arial" w:hAnsi="Arial" w:cs="Arial"/>
          <w:sz w:val="16"/>
          <w:szCs w:val="16"/>
        </w:rPr>
        <w:t xml:space="preserve"> Causar prejuízo material resultante diretamente de execução contratual: decl</w:t>
      </w:r>
      <w:r w:rsidRPr="00562E47">
        <w:rPr>
          <w:rFonts w:ascii="Arial" w:hAnsi="Arial" w:cs="Arial"/>
          <w:sz w:val="16"/>
          <w:szCs w:val="16"/>
        </w:rPr>
        <w:t>a</w:t>
      </w:r>
      <w:r w:rsidRPr="00562E47">
        <w:rPr>
          <w:rFonts w:ascii="Arial" w:hAnsi="Arial" w:cs="Arial"/>
          <w:sz w:val="16"/>
          <w:szCs w:val="16"/>
        </w:rPr>
        <w:t>ração de inidoneidade cumulada com a suspensão do direito de licitar e contratar com a Administração Pública pelo prazo de 5 anos e multa de 15 % sobre o valor atualizado do contrato.</w:t>
      </w:r>
    </w:p>
    <w:p w14:paraId="2BEDEF1C" w14:textId="77777777" w:rsidR="00F74958" w:rsidRPr="00562E47" w:rsidRDefault="00F74958" w:rsidP="00F7495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>6.5</w:t>
      </w:r>
      <w:r w:rsidRPr="00562E47">
        <w:rPr>
          <w:rFonts w:ascii="Arial" w:hAnsi="Arial" w:cs="Arial"/>
          <w:sz w:val="16"/>
          <w:szCs w:val="16"/>
        </w:rPr>
        <w:t xml:space="preserve"> Verificando-se outras irregularidades na execução do contrato, não tipificadas nos itens anteriores, poderá a Administração aplicar as demais penalidades pr</w:t>
      </w:r>
      <w:r w:rsidRPr="00562E47">
        <w:rPr>
          <w:rFonts w:ascii="Arial" w:hAnsi="Arial" w:cs="Arial"/>
          <w:sz w:val="16"/>
          <w:szCs w:val="16"/>
        </w:rPr>
        <w:t>e</w:t>
      </w:r>
      <w:r w:rsidRPr="00562E47">
        <w:rPr>
          <w:rFonts w:ascii="Arial" w:hAnsi="Arial" w:cs="Arial"/>
          <w:sz w:val="16"/>
          <w:szCs w:val="16"/>
        </w:rPr>
        <w:t xml:space="preserve">vistas pelo art. 87 da Lei nº 8.666/93, definindo-se quanto a multa o percentual máximo de 15%, a ser dosada pela municipalidade em razão das inconformidades constatadas. </w:t>
      </w:r>
    </w:p>
    <w:p w14:paraId="61FACDA0" w14:textId="77777777" w:rsidR="00F74958" w:rsidRPr="00562E47" w:rsidRDefault="00F74958" w:rsidP="00F74958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 xml:space="preserve">6.6 </w:t>
      </w:r>
      <w:r w:rsidRPr="00562E47">
        <w:rPr>
          <w:rFonts w:ascii="Arial" w:hAnsi="Arial" w:cs="Arial"/>
          <w:sz w:val="16"/>
          <w:szCs w:val="16"/>
        </w:rPr>
        <w:t>As penalidades serão registradas no cadastro da contratada, quando for o caso.</w:t>
      </w:r>
    </w:p>
    <w:p w14:paraId="6DAF65C3" w14:textId="77777777" w:rsidR="00F74958" w:rsidRPr="00562E47" w:rsidRDefault="00F74958" w:rsidP="00F74958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62E47">
        <w:rPr>
          <w:rFonts w:ascii="Arial" w:hAnsi="Arial" w:cs="Arial"/>
          <w:b/>
          <w:sz w:val="16"/>
          <w:szCs w:val="16"/>
        </w:rPr>
        <w:t xml:space="preserve">6.7 </w:t>
      </w:r>
      <w:r w:rsidRPr="00562E47">
        <w:rPr>
          <w:rFonts w:ascii="Arial" w:hAnsi="Arial" w:cs="Arial"/>
          <w:sz w:val="16"/>
          <w:szCs w:val="16"/>
        </w:rPr>
        <w:t>Enquanto pendente de liquidação qualquer obrigação financeira que for imposta a contratada, em virtude de penalidade ou inadimplência contrat</w:t>
      </w:r>
      <w:r w:rsidRPr="00562E47">
        <w:rPr>
          <w:rFonts w:ascii="Arial" w:hAnsi="Arial" w:cs="Arial"/>
          <w:sz w:val="16"/>
          <w:szCs w:val="16"/>
        </w:rPr>
        <w:t>u</w:t>
      </w:r>
      <w:r w:rsidRPr="00562E47">
        <w:rPr>
          <w:rFonts w:ascii="Arial" w:hAnsi="Arial" w:cs="Arial"/>
          <w:sz w:val="16"/>
          <w:szCs w:val="16"/>
        </w:rPr>
        <w:t>al, não haverá o pagamento da última parcela.</w:t>
      </w:r>
    </w:p>
    <w:p w14:paraId="7CDFE698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sz w:val="16"/>
          <w:szCs w:val="16"/>
        </w:rPr>
        <w:t>6.8</w:t>
      </w:r>
      <w:r w:rsidRPr="00562E47">
        <w:rPr>
          <w:sz w:val="16"/>
          <w:szCs w:val="16"/>
        </w:rPr>
        <w:t xml:space="preserve"> Nenhuma penalidade será aplicada sem a competente instrução prévia de Processo Administrativo Especial – PAE, em que seja ao licitante/contratado assegurado o pleno exercício do contrad</w:t>
      </w:r>
      <w:r w:rsidRPr="00562E47">
        <w:rPr>
          <w:sz w:val="16"/>
          <w:szCs w:val="16"/>
        </w:rPr>
        <w:t>i</w:t>
      </w:r>
      <w:r w:rsidRPr="00562E47">
        <w:rPr>
          <w:sz w:val="16"/>
          <w:szCs w:val="16"/>
        </w:rPr>
        <w:t>tório e da ampla defesa</w:t>
      </w:r>
    </w:p>
    <w:p w14:paraId="349E3FB1" w14:textId="77777777" w:rsidR="00F74958" w:rsidRPr="00562E47" w:rsidRDefault="00F74958" w:rsidP="00F74958">
      <w:pPr>
        <w:pStyle w:val="Default"/>
        <w:spacing w:line="360" w:lineRule="auto"/>
        <w:jc w:val="both"/>
        <w:rPr>
          <w:b/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7 </w:t>
      </w:r>
      <w:r w:rsidRPr="00562E47">
        <w:rPr>
          <w:b/>
          <w:sz w:val="16"/>
          <w:szCs w:val="16"/>
        </w:rPr>
        <w:t xml:space="preserve">– FISCALIZAÇÃO </w:t>
      </w:r>
    </w:p>
    <w:p w14:paraId="35FE477D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7.1 </w:t>
      </w:r>
      <w:r w:rsidRPr="00562E47">
        <w:rPr>
          <w:sz w:val="16"/>
          <w:szCs w:val="16"/>
        </w:rPr>
        <w:t>Cabe ao OP proceder a fiscalização rotineira dos serviços executados, quanto à quantidade, ao atendimento de todas as especificações e horários de execução.</w:t>
      </w:r>
    </w:p>
    <w:p w14:paraId="7709463F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7.2 </w:t>
      </w:r>
      <w:r w:rsidRPr="00562E47">
        <w:rPr>
          <w:sz w:val="16"/>
          <w:szCs w:val="16"/>
        </w:rPr>
        <w:t xml:space="preserve">Os fiscais dos OP estão investidos do direito de recusar, em parte ou totalmente, os serviços que não satisfaça as especificações estabelecidas ou que esteja sendo executado fora do horário preestabelecido. </w:t>
      </w:r>
    </w:p>
    <w:p w14:paraId="39D8D5CC" w14:textId="3902E7C3" w:rsidR="00F74958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7.3 </w:t>
      </w:r>
      <w:r w:rsidRPr="00562E47">
        <w:rPr>
          <w:sz w:val="16"/>
          <w:szCs w:val="16"/>
        </w:rPr>
        <w:t>As irregularidades constatadas pelos OP deverão ser comunicadas ao OG, no prazo máximo de 48 horas, para que sejam tomadas as providências necessárias para corrigi-las ou, quando for o caso, aplicadas as penalidades previstas.</w:t>
      </w:r>
    </w:p>
    <w:p w14:paraId="3F81E63A" w14:textId="77777777" w:rsidR="004E517F" w:rsidRPr="00562E47" w:rsidRDefault="004E517F" w:rsidP="00F74958">
      <w:pPr>
        <w:pStyle w:val="Default"/>
        <w:spacing w:line="360" w:lineRule="auto"/>
        <w:jc w:val="both"/>
        <w:rPr>
          <w:b/>
          <w:i/>
          <w:iCs/>
          <w:sz w:val="16"/>
          <w:szCs w:val="16"/>
        </w:rPr>
      </w:pPr>
    </w:p>
    <w:p w14:paraId="4E8ED723" w14:textId="781BB630" w:rsidR="00F74958" w:rsidRPr="004E517F" w:rsidRDefault="00F74958" w:rsidP="00F74958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  <w:r w:rsidRPr="00562E47">
        <w:rPr>
          <w:b/>
          <w:bCs/>
          <w:sz w:val="16"/>
          <w:szCs w:val="16"/>
        </w:rPr>
        <w:lastRenderedPageBreak/>
        <w:t>8</w:t>
      </w:r>
      <w:r w:rsidR="004E517F">
        <w:rPr>
          <w:b/>
          <w:bCs/>
          <w:sz w:val="16"/>
          <w:szCs w:val="16"/>
        </w:rPr>
        <w:t xml:space="preserve"> –</w:t>
      </w:r>
      <w:r w:rsidRPr="00562E47">
        <w:rPr>
          <w:b/>
          <w:bCs/>
          <w:sz w:val="16"/>
          <w:szCs w:val="16"/>
        </w:rPr>
        <w:t xml:space="preserve"> </w:t>
      </w:r>
      <w:r w:rsidRPr="00562E47">
        <w:rPr>
          <w:b/>
          <w:sz w:val="16"/>
          <w:szCs w:val="16"/>
        </w:rPr>
        <w:t xml:space="preserve">CASOS FORTUITOS OU DE FORÇA MAIOR </w:t>
      </w:r>
    </w:p>
    <w:p w14:paraId="58E0465C" w14:textId="77777777" w:rsidR="00F74958" w:rsidRPr="00562E47" w:rsidRDefault="00F74958" w:rsidP="00F74958">
      <w:pPr>
        <w:pStyle w:val="Default"/>
        <w:spacing w:line="360" w:lineRule="auto"/>
        <w:jc w:val="both"/>
        <w:rPr>
          <w:b/>
          <w:i/>
          <w:iCs/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8.1 </w:t>
      </w:r>
      <w:r w:rsidRPr="00562E47">
        <w:rPr>
          <w:sz w:val="16"/>
          <w:szCs w:val="16"/>
        </w:rPr>
        <w:t xml:space="preserve">Serão considerados casos fortuitos ou de força maior, para efeito de cancelamento da Ata de Registro de Preços ou não-aplicação de sanções, os inadimplementos decorrentes das situações a seguir, quando vierem a atrasar a execução dos serviços no local onde estiver sendo executado o objeto do contrato: </w:t>
      </w:r>
    </w:p>
    <w:p w14:paraId="2EF81FCC" w14:textId="77777777" w:rsidR="00F74958" w:rsidRPr="00562E47" w:rsidRDefault="00F74958" w:rsidP="00F74958">
      <w:pPr>
        <w:pStyle w:val="Default"/>
        <w:spacing w:line="360" w:lineRule="auto"/>
        <w:jc w:val="both"/>
        <w:rPr>
          <w:b/>
          <w:i/>
          <w:iCs/>
          <w:sz w:val="16"/>
          <w:szCs w:val="16"/>
        </w:rPr>
      </w:pPr>
      <w:r w:rsidRPr="00562E47">
        <w:rPr>
          <w:b/>
          <w:i/>
          <w:iCs/>
          <w:sz w:val="16"/>
          <w:szCs w:val="16"/>
        </w:rPr>
        <w:t xml:space="preserve"> </w:t>
      </w:r>
      <w:r w:rsidRPr="00562E47">
        <w:rPr>
          <w:b/>
          <w:i/>
          <w:iCs/>
          <w:sz w:val="16"/>
          <w:szCs w:val="16"/>
        </w:rPr>
        <w:tab/>
      </w:r>
      <w:r w:rsidRPr="00562E47">
        <w:rPr>
          <w:sz w:val="16"/>
          <w:szCs w:val="16"/>
        </w:rPr>
        <w:t xml:space="preserve">a) greve geral; </w:t>
      </w:r>
    </w:p>
    <w:p w14:paraId="7FE8AFEB" w14:textId="77777777" w:rsidR="00F74958" w:rsidRPr="00562E47" w:rsidRDefault="00F74958" w:rsidP="00F74958">
      <w:pPr>
        <w:pStyle w:val="Default"/>
        <w:spacing w:line="360" w:lineRule="auto"/>
        <w:jc w:val="both"/>
        <w:rPr>
          <w:b/>
          <w:i/>
          <w:iCs/>
          <w:sz w:val="16"/>
          <w:szCs w:val="16"/>
        </w:rPr>
      </w:pPr>
      <w:r w:rsidRPr="00562E47">
        <w:rPr>
          <w:b/>
          <w:i/>
          <w:iCs/>
          <w:sz w:val="16"/>
          <w:szCs w:val="16"/>
        </w:rPr>
        <w:t xml:space="preserve"> </w:t>
      </w:r>
      <w:r w:rsidRPr="00562E47">
        <w:rPr>
          <w:b/>
          <w:i/>
          <w:iCs/>
          <w:sz w:val="16"/>
          <w:szCs w:val="16"/>
        </w:rPr>
        <w:tab/>
      </w:r>
      <w:r w:rsidRPr="00562E47">
        <w:rPr>
          <w:sz w:val="16"/>
          <w:szCs w:val="16"/>
        </w:rPr>
        <w:t xml:space="preserve">b) calamidade pública; </w:t>
      </w:r>
    </w:p>
    <w:p w14:paraId="1CB1D045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i/>
          <w:iCs/>
          <w:sz w:val="16"/>
          <w:szCs w:val="16"/>
        </w:rPr>
        <w:t xml:space="preserve"> </w:t>
      </w:r>
      <w:r w:rsidRPr="00562E47">
        <w:rPr>
          <w:b/>
          <w:i/>
          <w:iCs/>
          <w:sz w:val="16"/>
          <w:szCs w:val="16"/>
        </w:rPr>
        <w:tab/>
      </w:r>
      <w:r w:rsidRPr="00562E47">
        <w:rPr>
          <w:sz w:val="16"/>
          <w:szCs w:val="16"/>
        </w:rPr>
        <w:t xml:space="preserve">c) interrupção dos meios de transporte; </w:t>
      </w:r>
    </w:p>
    <w:p w14:paraId="6C8FB151" w14:textId="77777777" w:rsidR="00F74958" w:rsidRPr="00562E47" w:rsidRDefault="00F74958" w:rsidP="00F74958">
      <w:pPr>
        <w:pStyle w:val="Default"/>
        <w:spacing w:line="360" w:lineRule="auto"/>
        <w:jc w:val="both"/>
        <w:rPr>
          <w:b/>
          <w:i/>
          <w:iCs/>
          <w:sz w:val="16"/>
          <w:szCs w:val="16"/>
        </w:rPr>
      </w:pPr>
      <w:r w:rsidRPr="00562E47">
        <w:rPr>
          <w:sz w:val="16"/>
          <w:szCs w:val="16"/>
        </w:rPr>
        <w:t xml:space="preserve"> </w:t>
      </w:r>
      <w:r w:rsidRPr="00562E47">
        <w:rPr>
          <w:sz w:val="16"/>
          <w:szCs w:val="16"/>
        </w:rPr>
        <w:tab/>
        <w:t>d) condições meteorológicas excepcionalmente prejudiciais; e</w:t>
      </w:r>
    </w:p>
    <w:p w14:paraId="5F9270DA" w14:textId="77777777" w:rsidR="00F74958" w:rsidRPr="00562E47" w:rsidRDefault="00F74958" w:rsidP="00F74958">
      <w:pPr>
        <w:pStyle w:val="Default"/>
        <w:spacing w:line="360" w:lineRule="auto"/>
        <w:jc w:val="both"/>
        <w:rPr>
          <w:b/>
          <w:i/>
          <w:iCs/>
          <w:sz w:val="16"/>
          <w:szCs w:val="16"/>
        </w:rPr>
      </w:pPr>
      <w:r w:rsidRPr="00562E47">
        <w:rPr>
          <w:b/>
          <w:i/>
          <w:iCs/>
          <w:sz w:val="16"/>
          <w:szCs w:val="16"/>
        </w:rPr>
        <w:t xml:space="preserve"> </w:t>
      </w:r>
      <w:r w:rsidRPr="00562E47">
        <w:rPr>
          <w:b/>
          <w:i/>
          <w:iCs/>
          <w:sz w:val="16"/>
          <w:szCs w:val="16"/>
        </w:rPr>
        <w:tab/>
      </w:r>
      <w:r w:rsidRPr="00562E47">
        <w:rPr>
          <w:sz w:val="16"/>
          <w:szCs w:val="16"/>
        </w:rPr>
        <w:t xml:space="preserve">e) outros casos que se enquadrem no parágrafo único do art. 393 do Código Civil Brasileiro (Lei nº 10.406/2002). </w:t>
      </w:r>
    </w:p>
    <w:p w14:paraId="100041ED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8.2 </w:t>
      </w:r>
      <w:r w:rsidRPr="00562E47">
        <w:rPr>
          <w:sz w:val="16"/>
          <w:szCs w:val="16"/>
        </w:rPr>
        <w:t xml:space="preserve">Os casos acima enumerados devem ser satisfatoriamente justificados pela contratada. </w:t>
      </w:r>
    </w:p>
    <w:p w14:paraId="74EDD5B2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bCs/>
          <w:sz w:val="16"/>
          <w:szCs w:val="16"/>
        </w:rPr>
        <w:t xml:space="preserve">8.3 </w:t>
      </w:r>
      <w:r w:rsidRPr="00562E47">
        <w:rPr>
          <w:sz w:val="16"/>
          <w:szCs w:val="16"/>
        </w:rPr>
        <w:t>Sempre que ocorrerem situações que impliquem caso fortuito ou de força maior, o fato deverá ser comunicado ao OP, até 24 horas após a ocorrência. Caso não seja cumprido este prazo, o início da ocorrência será considerado como tendo sido 24 horas antes da data de solicitação de enquadramento da ocorrência como caso fortuito ou de força maior.</w:t>
      </w:r>
    </w:p>
    <w:p w14:paraId="632BFB22" w14:textId="764ABD26" w:rsidR="00F74958" w:rsidRPr="004E517F" w:rsidRDefault="00F74958" w:rsidP="00F74958">
      <w:pPr>
        <w:pStyle w:val="Default"/>
        <w:spacing w:line="360" w:lineRule="auto"/>
        <w:jc w:val="both"/>
        <w:rPr>
          <w:b/>
          <w:bCs/>
          <w:sz w:val="16"/>
          <w:szCs w:val="16"/>
        </w:rPr>
      </w:pPr>
      <w:r w:rsidRPr="00562E47">
        <w:rPr>
          <w:b/>
          <w:bCs/>
          <w:sz w:val="16"/>
          <w:szCs w:val="16"/>
        </w:rPr>
        <w:t>9</w:t>
      </w:r>
      <w:r w:rsidR="004E517F">
        <w:rPr>
          <w:b/>
          <w:bCs/>
          <w:sz w:val="16"/>
          <w:szCs w:val="16"/>
        </w:rPr>
        <w:t xml:space="preserve"> –</w:t>
      </w:r>
      <w:r w:rsidRPr="00562E47">
        <w:rPr>
          <w:b/>
          <w:bCs/>
          <w:sz w:val="16"/>
          <w:szCs w:val="16"/>
        </w:rPr>
        <w:t xml:space="preserve"> </w:t>
      </w:r>
      <w:r w:rsidRPr="00562E47">
        <w:rPr>
          <w:b/>
          <w:sz w:val="16"/>
          <w:szCs w:val="16"/>
        </w:rPr>
        <w:t xml:space="preserve">FORO </w:t>
      </w:r>
    </w:p>
    <w:p w14:paraId="294E2FBA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b/>
          <w:sz w:val="16"/>
          <w:szCs w:val="16"/>
        </w:rPr>
        <w:t xml:space="preserve">9.1 </w:t>
      </w:r>
      <w:r w:rsidRPr="00562E47">
        <w:rPr>
          <w:sz w:val="16"/>
          <w:szCs w:val="16"/>
        </w:rPr>
        <w:t xml:space="preserve">Para a resolução de possíveis divergências entre as partes, oriundas da presente Ata, fica eleito o Foro da Comarca de Ijuí/RS. </w:t>
      </w:r>
    </w:p>
    <w:p w14:paraId="3789CD62" w14:textId="77777777" w:rsidR="00F74958" w:rsidRPr="00562E47" w:rsidRDefault="00F74958" w:rsidP="00F74958">
      <w:pPr>
        <w:pStyle w:val="Default"/>
        <w:spacing w:line="360" w:lineRule="auto"/>
        <w:jc w:val="both"/>
        <w:rPr>
          <w:sz w:val="16"/>
          <w:szCs w:val="16"/>
        </w:rPr>
      </w:pPr>
      <w:r w:rsidRPr="00562E47">
        <w:rPr>
          <w:sz w:val="16"/>
          <w:szCs w:val="16"/>
        </w:rPr>
        <w:t xml:space="preserve"> </w:t>
      </w:r>
      <w:r w:rsidRPr="00562E47">
        <w:rPr>
          <w:sz w:val="16"/>
          <w:szCs w:val="16"/>
        </w:rPr>
        <w:tab/>
        <w:t>Certos e ajustados, firmam a presente Ata em 03 vias de igual teor e forma, ficando desde já autorizadas cópias para o Órgão Gerenciador, para a empresa registrada, para extrato para publicação na Imprensa Oficial; e para o Órgão Participante, que vai assinada e ratificada na presença de 02 (duas) testemunhas, responsabilizando-se as partes por todos os termos, para que deles decorram os esperados efeitos jurídicos.</w:t>
      </w:r>
    </w:p>
    <w:p w14:paraId="3C990823" w14:textId="77777777" w:rsidR="00F74958" w:rsidRPr="00562E47" w:rsidRDefault="00F74958" w:rsidP="00F74958">
      <w:pPr>
        <w:pStyle w:val="Default"/>
        <w:spacing w:line="360" w:lineRule="auto"/>
        <w:jc w:val="right"/>
        <w:rPr>
          <w:sz w:val="16"/>
          <w:szCs w:val="16"/>
        </w:rPr>
      </w:pPr>
    </w:p>
    <w:p w14:paraId="55D9F0E5" w14:textId="5CA4B184" w:rsidR="00F74958" w:rsidRPr="00562E47" w:rsidRDefault="00F74958" w:rsidP="00F74958">
      <w:pPr>
        <w:pStyle w:val="Default"/>
        <w:spacing w:line="360" w:lineRule="auto"/>
        <w:jc w:val="right"/>
        <w:rPr>
          <w:sz w:val="16"/>
          <w:szCs w:val="16"/>
        </w:rPr>
      </w:pPr>
      <w:r w:rsidRPr="00562E47">
        <w:rPr>
          <w:sz w:val="16"/>
          <w:szCs w:val="16"/>
        </w:rPr>
        <w:t>Bozano, RS,</w:t>
      </w:r>
      <w:r w:rsidR="00562E47" w:rsidRPr="00562E47">
        <w:rPr>
          <w:sz w:val="16"/>
          <w:szCs w:val="16"/>
        </w:rPr>
        <w:t xml:space="preserve"> 04</w:t>
      </w:r>
      <w:r w:rsidRPr="00562E47">
        <w:rPr>
          <w:sz w:val="16"/>
          <w:szCs w:val="16"/>
        </w:rPr>
        <w:t xml:space="preserve"> de</w:t>
      </w:r>
      <w:r w:rsidR="00562E47" w:rsidRPr="00562E47">
        <w:rPr>
          <w:sz w:val="16"/>
          <w:szCs w:val="16"/>
        </w:rPr>
        <w:t xml:space="preserve"> março </w:t>
      </w:r>
      <w:r w:rsidRPr="00562E47">
        <w:rPr>
          <w:sz w:val="16"/>
          <w:szCs w:val="16"/>
        </w:rPr>
        <w:t xml:space="preserve">de 2022. </w:t>
      </w:r>
    </w:p>
    <w:p w14:paraId="24FB544A" w14:textId="1A0D9C43" w:rsidR="00F74958" w:rsidRPr="00562E47" w:rsidRDefault="00F74958" w:rsidP="00562E47">
      <w:pPr>
        <w:pStyle w:val="Default"/>
        <w:spacing w:line="360" w:lineRule="auto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62E47" w:rsidRPr="00562E47" w14:paraId="7D1D1B53" w14:textId="77777777" w:rsidTr="00562E47">
        <w:tc>
          <w:tcPr>
            <w:tcW w:w="4247" w:type="dxa"/>
          </w:tcPr>
          <w:p w14:paraId="2BE5D07E" w14:textId="47E9A6A2" w:rsidR="00562E47" w:rsidRPr="00562E47" w:rsidRDefault="00562E47" w:rsidP="00562E47">
            <w:pPr>
              <w:pStyle w:val="Default"/>
              <w:jc w:val="center"/>
              <w:rPr>
                <w:sz w:val="16"/>
                <w:szCs w:val="16"/>
              </w:rPr>
            </w:pPr>
            <w:r w:rsidRPr="00562E47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4247" w:type="dxa"/>
          </w:tcPr>
          <w:p w14:paraId="2A7C4984" w14:textId="69AA8218" w:rsidR="00562E47" w:rsidRPr="00562E47" w:rsidRDefault="00562E47" w:rsidP="00562E47">
            <w:pPr>
              <w:pStyle w:val="Default"/>
              <w:jc w:val="center"/>
              <w:rPr>
                <w:sz w:val="16"/>
                <w:szCs w:val="16"/>
              </w:rPr>
            </w:pPr>
            <w:r w:rsidRPr="00562E47">
              <w:rPr>
                <w:sz w:val="16"/>
                <w:szCs w:val="16"/>
              </w:rPr>
              <w:t>_________________________________</w:t>
            </w:r>
          </w:p>
        </w:tc>
      </w:tr>
      <w:tr w:rsidR="00562E47" w:rsidRPr="00562E47" w14:paraId="12C5866A" w14:textId="77777777" w:rsidTr="00562E47">
        <w:tc>
          <w:tcPr>
            <w:tcW w:w="4247" w:type="dxa"/>
          </w:tcPr>
          <w:p w14:paraId="60AE3F34" w14:textId="14E025CD" w:rsidR="00562E47" w:rsidRPr="00562E47" w:rsidRDefault="00562E47" w:rsidP="00562E47">
            <w:pPr>
              <w:pStyle w:val="Default"/>
              <w:jc w:val="center"/>
              <w:rPr>
                <w:sz w:val="16"/>
                <w:szCs w:val="16"/>
              </w:rPr>
            </w:pPr>
            <w:r w:rsidRPr="00562E47">
              <w:rPr>
                <w:sz w:val="16"/>
                <w:szCs w:val="16"/>
              </w:rPr>
              <w:t>MUNICÍPIO</w:t>
            </w:r>
          </w:p>
        </w:tc>
        <w:tc>
          <w:tcPr>
            <w:tcW w:w="4247" w:type="dxa"/>
          </w:tcPr>
          <w:p w14:paraId="17BB9811" w14:textId="67D0FB30" w:rsidR="00562E47" w:rsidRPr="00562E47" w:rsidRDefault="00562E47" w:rsidP="00562E47">
            <w:pPr>
              <w:pStyle w:val="Default"/>
              <w:jc w:val="center"/>
              <w:rPr>
                <w:sz w:val="16"/>
                <w:szCs w:val="16"/>
              </w:rPr>
            </w:pPr>
            <w:r w:rsidRPr="00562E47">
              <w:rPr>
                <w:bCs/>
                <w:sz w:val="16"/>
                <w:szCs w:val="16"/>
              </w:rPr>
              <w:t>RH TERRAPLENAGEM E SERVIÇOS LTDA – EPP</w:t>
            </w:r>
          </w:p>
        </w:tc>
      </w:tr>
    </w:tbl>
    <w:p w14:paraId="173074C2" w14:textId="77777777" w:rsidR="00562E47" w:rsidRPr="00562E47" w:rsidRDefault="00562E47" w:rsidP="00F74958">
      <w:pPr>
        <w:pStyle w:val="Default"/>
        <w:spacing w:line="360" w:lineRule="auto"/>
        <w:jc w:val="right"/>
        <w:rPr>
          <w:sz w:val="16"/>
          <w:szCs w:val="16"/>
        </w:rPr>
      </w:pPr>
    </w:p>
    <w:p w14:paraId="439E2105" w14:textId="77777777" w:rsidR="00F74958" w:rsidRPr="00562E47" w:rsidRDefault="00F74958" w:rsidP="00F74958">
      <w:pPr>
        <w:pStyle w:val="Default"/>
        <w:spacing w:line="360" w:lineRule="auto"/>
        <w:rPr>
          <w:sz w:val="16"/>
          <w:szCs w:val="16"/>
        </w:rPr>
      </w:pPr>
    </w:p>
    <w:p w14:paraId="246595D5" w14:textId="77777777" w:rsidR="00F74958" w:rsidRPr="00562E47" w:rsidRDefault="00F74958" w:rsidP="00F74958">
      <w:pPr>
        <w:pStyle w:val="Default"/>
        <w:spacing w:line="360" w:lineRule="auto"/>
        <w:rPr>
          <w:sz w:val="16"/>
          <w:szCs w:val="16"/>
        </w:rPr>
      </w:pPr>
    </w:p>
    <w:p w14:paraId="6831DE20" w14:textId="7F8A16EE" w:rsidR="00F74958" w:rsidRPr="00562E47" w:rsidRDefault="00F74958" w:rsidP="00F74958">
      <w:pPr>
        <w:pStyle w:val="Default"/>
        <w:spacing w:line="360" w:lineRule="auto"/>
        <w:rPr>
          <w:sz w:val="16"/>
          <w:szCs w:val="16"/>
        </w:rPr>
      </w:pPr>
      <w:r w:rsidRPr="00562E47">
        <w:rPr>
          <w:sz w:val="16"/>
          <w:szCs w:val="16"/>
        </w:rPr>
        <w:t>Testemunhas</w:t>
      </w:r>
      <w:r w:rsidR="00562E47">
        <w:rPr>
          <w:sz w:val="16"/>
          <w:szCs w:val="16"/>
        </w:rPr>
        <w:t>:</w:t>
      </w:r>
      <w:r w:rsidRPr="00562E47">
        <w:rPr>
          <w:sz w:val="16"/>
          <w:szCs w:val="16"/>
        </w:rPr>
        <w:t xml:space="preserve"> </w:t>
      </w:r>
    </w:p>
    <w:p w14:paraId="7B151E34" w14:textId="77777777" w:rsidR="00562E47" w:rsidRPr="00562E47" w:rsidRDefault="00562E47" w:rsidP="00F74958">
      <w:pPr>
        <w:pStyle w:val="Default"/>
        <w:spacing w:line="360" w:lineRule="auto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62E47" w:rsidRPr="00562E47" w14:paraId="350441AD" w14:textId="77777777" w:rsidTr="00562E47">
        <w:tc>
          <w:tcPr>
            <w:tcW w:w="4247" w:type="dxa"/>
          </w:tcPr>
          <w:p w14:paraId="0B60CF5B" w14:textId="53E57388" w:rsidR="00562E47" w:rsidRPr="00562E47" w:rsidRDefault="00562E47" w:rsidP="00562E47">
            <w:pPr>
              <w:pStyle w:val="Default"/>
              <w:numPr>
                <w:ilvl w:val="0"/>
                <w:numId w:val="1"/>
              </w:numPr>
              <w:spacing w:line="360" w:lineRule="auto"/>
              <w:jc w:val="center"/>
              <w:rPr>
                <w:sz w:val="16"/>
                <w:szCs w:val="16"/>
              </w:rPr>
            </w:pPr>
            <w:r w:rsidRPr="00562E47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4247" w:type="dxa"/>
          </w:tcPr>
          <w:p w14:paraId="4710FDC5" w14:textId="77777777" w:rsidR="00562E47" w:rsidRDefault="00562E47" w:rsidP="00562E47">
            <w:pPr>
              <w:pStyle w:val="Default"/>
              <w:numPr>
                <w:ilvl w:val="0"/>
                <w:numId w:val="1"/>
              </w:numPr>
              <w:spacing w:line="360" w:lineRule="auto"/>
              <w:jc w:val="center"/>
              <w:rPr>
                <w:sz w:val="16"/>
                <w:szCs w:val="16"/>
              </w:rPr>
            </w:pPr>
            <w:r w:rsidRPr="00562E47">
              <w:rPr>
                <w:sz w:val="16"/>
                <w:szCs w:val="16"/>
              </w:rPr>
              <w:t>_________________________________</w:t>
            </w:r>
          </w:p>
          <w:p w14:paraId="5C0882FB" w14:textId="77777777" w:rsidR="004E517F" w:rsidRDefault="004E517F" w:rsidP="004E517F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3EB76E3" w14:textId="77777777" w:rsidR="004E517F" w:rsidRDefault="004E517F" w:rsidP="004E517F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08A369D" w14:textId="77777777" w:rsidR="004E517F" w:rsidRDefault="004E517F" w:rsidP="004E517F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BFF87AA" w14:textId="7B3CA4C6" w:rsidR="004E517F" w:rsidRPr="00562E47" w:rsidRDefault="004E517F" w:rsidP="004E517F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BD6EE91" w14:textId="77777777" w:rsidR="00F74958" w:rsidRPr="00562E47" w:rsidRDefault="00F74958" w:rsidP="00F74958">
      <w:pPr>
        <w:spacing w:line="360" w:lineRule="auto"/>
        <w:ind w:left="720"/>
        <w:jc w:val="center"/>
        <w:rPr>
          <w:rFonts w:ascii="Arial" w:hAnsi="Arial" w:cs="Arial"/>
          <w:b/>
          <w:sz w:val="16"/>
          <w:szCs w:val="16"/>
        </w:rPr>
      </w:pPr>
    </w:p>
    <w:p w14:paraId="3BFC9F90" w14:textId="45757854" w:rsidR="004E517F" w:rsidRDefault="004E517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B3FB443" w14:textId="2BA63BB4" w:rsidR="008D4538" w:rsidRDefault="008D4538">
      <w:pPr>
        <w:rPr>
          <w:rFonts w:ascii="Arial" w:hAnsi="Arial" w:cs="Arial"/>
          <w:sz w:val="16"/>
          <w:szCs w:val="16"/>
        </w:rPr>
      </w:pPr>
    </w:p>
    <w:p w14:paraId="234D2E27" w14:textId="62F045C3" w:rsidR="004E517F" w:rsidRPr="004E517F" w:rsidRDefault="004E517F">
      <w:pPr>
        <w:rPr>
          <w:rFonts w:ascii="Arial" w:hAnsi="Arial" w:cs="Arial"/>
          <w:sz w:val="16"/>
          <w:szCs w:val="16"/>
        </w:rPr>
      </w:pPr>
    </w:p>
    <w:p w14:paraId="36B14180" w14:textId="7B4616D1" w:rsidR="004E517F" w:rsidRPr="004E517F" w:rsidRDefault="004E517F" w:rsidP="004E517F">
      <w:pPr>
        <w:jc w:val="center"/>
        <w:rPr>
          <w:rFonts w:ascii="Arial" w:hAnsi="Arial" w:cs="Arial"/>
          <w:sz w:val="16"/>
          <w:szCs w:val="16"/>
        </w:rPr>
      </w:pPr>
      <w:r w:rsidRPr="004E517F">
        <w:rPr>
          <w:rFonts w:ascii="Arial" w:hAnsi="Arial" w:cs="Arial"/>
          <w:b/>
          <w:sz w:val="16"/>
          <w:szCs w:val="16"/>
        </w:rPr>
        <w:t>RH TERRAPLENAGEM E SERVIÇOS LTDA – EPP</w:t>
      </w:r>
    </w:p>
    <w:p w14:paraId="048BA6FB" w14:textId="7C918EB2" w:rsidR="004E517F" w:rsidRPr="004E517F" w:rsidRDefault="004E517F">
      <w:pPr>
        <w:rPr>
          <w:rFonts w:ascii="Arial" w:hAnsi="Arial" w:cs="Arial"/>
          <w:sz w:val="16"/>
          <w:szCs w:val="16"/>
        </w:rPr>
      </w:pPr>
    </w:p>
    <w:p w14:paraId="771C469C" w14:textId="12CDC9EF" w:rsidR="004E517F" w:rsidRPr="004E517F" w:rsidRDefault="004E517F">
      <w:pPr>
        <w:rPr>
          <w:rFonts w:ascii="Arial" w:hAnsi="Arial" w:cs="Arial"/>
          <w:sz w:val="16"/>
          <w:szCs w:val="1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4135"/>
        <w:gridCol w:w="1391"/>
        <w:gridCol w:w="1262"/>
      </w:tblGrid>
      <w:tr w:rsidR="004E517F" w:rsidRPr="004E517F" w14:paraId="150B027C" w14:textId="77777777" w:rsidTr="00D60336">
        <w:trPr>
          <w:cantSplit/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EDD6" w14:textId="77777777" w:rsidR="004E517F" w:rsidRPr="004E517F" w:rsidRDefault="004E517F" w:rsidP="00D6033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17F">
              <w:rPr>
                <w:rFonts w:ascii="Arial" w:hAnsi="Arial" w:cs="Arial"/>
                <w:b/>
                <w:bCs/>
                <w:sz w:val="16"/>
                <w:szCs w:val="16"/>
              </w:rPr>
              <w:t>Item único</w:t>
            </w:r>
          </w:p>
        </w:tc>
      </w:tr>
      <w:tr w:rsidR="004E517F" w:rsidRPr="004E517F" w14:paraId="54C38678" w14:textId="77777777" w:rsidTr="00D60336">
        <w:trPr>
          <w:cantSplit/>
          <w:trHeight w:val="454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1D6C" w14:textId="77777777" w:rsidR="004E517F" w:rsidRPr="004E517F" w:rsidRDefault="004E517F" w:rsidP="00D6033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17F">
              <w:rPr>
                <w:rFonts w:ascii="Arial" w:hAnsi="Arial" w:cs="Arial"/>
                <w:b/>
                <w:bCs/>
                <w:sz w:val="16"/>
                <w:szCs w:val="16"/>
              </w:rPr>
              <w:t>Quantidade estimada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91EC" w14:textId="77777777" w:rsidR="004E517F" w:rsidRPr="004E517F" w:rsidRDefault="004E517F" w:rsidP="00D6033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17F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F4D5" w14:textId="77777777" w:rsidR="004E517F" w:rsidRPr="004E517F" w:rsidRDefault="004E517F" w:rsidP="00D6033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17F">
              <w:rPr>
                <w:rFonts w:ascii="Arial" w:hAnsi="Arial" w:cs="Arial"/>
                <w:b/>
                <w:bCs/>
                <w:sz w:val="16"/>
                <w:szCs w:val="16"/>
              </w:rPr>
              <w:t>Equipamento/</w:t>
            </w:r>
          </w:p>
          <w:p w14:paraId="58B37102" w14:textId="77777777" w:rsidR="004E517F" w:rsidRPr="004E517F" w:rsidRDefault="004E517F" w:rsidP="00D6033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17F">
              <w:rPr>
                <w:rFonts w:ascii="Arial" w:hAnsi="Arial" w:cs="Arial"/>
                <w:b/>
                <w:bCs/>
                <w:sz w:val="16"/>
                <w:szCs w:val="16"/>
              </w:rPr>
              <w:t>veículo a ser utilizado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D90" w14:textId="77777777" w:rsidR="004E517F" w:rsidRPr="004E517F" w:rsidRDefault="004E517F" w:rsidP="00D6033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17F">
              <w:rPr>
                <w:rFonts w:ascii="Arial" w:hAnsi="Arial" w:cs="Arial"/>
                <w:b/>
                <w:bCs/>
                <w:sz w:val="16"/>
                <w:szCs w:val="16"/>
              </w:rPr>
              <w:t>Preço Unitário R$</w:t>
            </w:r>
          </w:p>
        </w:tc>
      </w:tr>
      <w:tr w:rsidR="004E517F" w:rsidRPr="004E517F" w14:paraId="17220E3F" w14:textId="77777777" w:rsidTr="004E517F">
        <w:trPr>
          <w:trHeight w:val="340"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9EDB" w14:textId="77777777" w:rsidR="004E517F" w:rsidRPr="004E517F" w:rsidRDefault="004E517F" w:rsidP="00D60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17F">
              <w:rPr>
                <w:rFonts w:ascii="Arial" w:hAnsi="Arial" w:cs="Arial"/>
                <w:sz w:val="16"/>
                <w:szCs w:val="16"/>
              </w:rPr>
              <w:t>350 horas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BA9" w14:textId="77777777" w:rsidR="004E517F" w:rsidRPr="004E517F" w:rsidRDefault="004E517F" w:rsidP="00D603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17F">
              <w:rPr>
                <w:rFonts w:ascii="Arial" w:hAnsi="Arial" w:cs="Arial"/>
                <w:b/>
                <w:bCs/>
                <w:sz w:val="16"/>
                <w:szCs w:val="16"/>
              </w:rPr>
              <w:t>ESCAVADEIRA HIDRÁULICA</w:t>
            </w:r>
            <w:r w:rsidRPr="004E517F">
              <w:rPr>
                <w:rFonts w:ascii="Arial" w:hAnsi="Arial" w:cs="Arial"/>
                <w:bCs/>
                <w:sz w:val="16"/>
                <w:szCs w:val="16"/>
              </w:rPr>
              <w:t xml:space="preserve"> SOBRE ESTEIRAS, MOTOR COM POTÊNCIA IGUAL OU SUPERIOR A 130 </w:t>
            </w:r>
            <w:proofErr w:type="spellStart"/>
            <w:r w:rsidRPr="004E517F">
              <w:rPr>
                <w:rFonts w:ascii="Arial" w:hAnsi="Arial" w:cs="Arial"/>
                <w:bCs/>
                <w:sz w:val="16"/>
                <w:szCs w:val="16"/>
              </w:rPr>
              <w:t>HPs</w:t>
            </w:r>
            <w:proofErr w:type="spellEnd"/>
            <w:r w:rsidRPr="004E517F">
              <w:rPr>
                <w:rFonts w:ascii="Arial" w:hAnsi="Arial" w:cs="Arial"/>
                <w:bCs/>
                <w:sz w:val="16"/>
                <w:szCs w:val="16"/>
              </w:rPr>
              <w:t>, PESO OPERACIONAL IGUAL OU SUPERIOR A 20.500 KG, CONCHA COM CAPACIDADE MÍNIMA DE 1,3 M³, EM BOAS CONDIÇÕES DE USO, COMPREENDENDO OPERADOR HABILITADO, COMBUSTIVEL, TRANSPORTE E DEMAIS COMPONENTES NECESSÁRIOS À PLENA PRESTAÇÃO DOS SERVIÇOS DE ESCAVAÇÃO DE PEDRAS, TERRA, SAIBRO E DEMAIS MATERIAIS, INCLUINDO A DECAPAGEM DA JAZIDA PARA ENSAIBRAMENTO E EMPEDRAMENTO DE ESTRADAS VICINAIS NO INTERIOR DO MUNICIPIO.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1602" w14:textId="7D5BB62E" w:rsidR="004E517F" w:rsidRPr="00DD42D6" w:rsidRDefault="00DD42D6" w:rsidP="00DD42D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2D6">
              <w:rPr>
                <w:rFonts w:ascii="Arial" w:hAnsi="Arial" w:cs="Arial"/>
                <w:bCs/>
                <w:sz w:val="16"/>
                <w:szCs w:val="16"/>
              </w:rPr>
              <w:t>CAT 320C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2F0E" w14:textId="6A2FAA8E" w:rsidR="004E517F" w:rsidRPr="00DD42D6" w:rsidRDefault="004E517F" w:rsidP="00DD42D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42D6">
              <w:rPr>
                <w:rFonts w:ascii="Arial" w:hAnsi="Arial" w:cs="Arial"/>
                <w:bCs/>
                <w:sz w:val="16"/>
                <w:szCs w:val="16"/>
              </w:rPr>
              <w:t>347,00</w:t>
            </w:r>
          </w:p>
        </w:tc>
      </w:tr>
    </w:tbl>
    <w:p w14:paraId="7BC881A7" w14:textId="77777777" w:rsidR="004E517F" w:rsidRPr="004E517F" w:rsidRDefault="004E517F">
      <w:pPr>
        <w:rPr>
          <w:rFonts w:ascii="Arial" w:hAnsi="Arial" w:cs="Arial"/>
          <w:sz w:val="16"/>
          <w:szCs w:val="16"/>
        </w:rPr>
      </w:pPr>
    </w:p>
    <w:sectPr w:rsidR="004E517F" w:rsidRPr="004E517F" w:rsidSect="00562E47">
      <w:pgSz w:w="11906" w:h="16838"/>
      <w:pgMar w:top="2892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760C"/>
    <w:multiLevelType w:val="hybridMultilevel"/>
    <w:tmpl w:val="96108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58"/>
    <w:rsid w:val="004E517F"/>
    <w:rsid w:val="00562E47"/>
    <w:rsid w:val="008D4538"/>
    <w:rsid w:val="00DD42D6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1B91"/>
  <w15:chartTrackingRefBased/>
  <w15:docId w15:val="{D82786E4-D4C3-48BC-AEBC-A0951EC1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F7495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74958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F74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6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2022-03-04T16:38:00Z</cp:lastPrinted>
  <dcterms:created xsi:type="dcterms:W3CDTF">2022-03-04T16:27:00Z</dcterms:created>
  <dcterms:modified xsi:type="dcterms:W3CDTF">2022-03-04T16:38:00Z</dcterms:modified>
</cp:coreProperties>
</file>